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24D0" w14:textId="77777777" w:rsidR="00B53AC1" w:rsidRDefault="00B53AC1" w:rsidP="00B53AC1">
      <w:pPr>
        <w:spacing w:before="100" w:beforeAutospacing="1" w:after="100" w:afterAutospacing="1" w:line="252" w:lineRule="auto"/>
        <w:jc w:val="center"/>
        <w:rPr>
          <w:rFonts w:ascii="Tahoma" w:eastAsia="Times New Roman" w:hAnsi="Tahoma" w:cs="Times New Roman"/>
          <w:b/>
          <w:color w:val="008000"/>
        </w:rPr>
      </w:pPr>
      <w:r>
        <w:rPr>
          <w:rFonts w:ascii="Tahoma" w:eastAsia="Times New Roman" w:hAnsi="Tahoma" w:cs="Times New Roman"/>
          <w:b/>
          <w:color w:val="008000"/>
        </w:rPr>
        <w:t>DESTEK YEMİNLİ MALİ MÜŞAVİRLİK</w:t>
      </w:r>
    </w:p>
    <w:p w14:paraId="5FB31FEB" w14:textId="77777777" w:rsidR="00B53AC1" w:rsidRDefault="00B53AC1" w:rsidP="00B53AC1">
      <w:pPr>
        <w:spacing w:before="100" w:beforeAutospacing="1" w:after="100" w:afterAutospacing="1" w:line="252" w:lineRule="auto"/>
        <w:jc w:val="center"/>
        <w:rPr>
          <w:rFonts w:ascii="Tahoma" w:eastAsia="Times New Roman" w:hAnsi="Tahoma" w:cs="Times New Roman"/>
          <w:b/>
          <w:color w:val="008000"/>
        </w:rPr>
      </w:pPr>
      <w:r>
        <w:rPr>
          <w:rFonts w:ascii="Tahoma" w:eastAsia="Times New Roman" w:hAnsi="Tahoma" w:cs="Times New Roman"/>
          <w:b/>
          <w:color w:val="008000"/>
        </w:rPr>
        <w:t>LİMİTED ŞİRKETİ</w:t>
      </w:r>
    </w:p>
    <w:p w14:paraId="75DC6AD6" w14:textId="77777777" w:rsidR="00B53AC1" w:rsidRDefault="00B53AC1" w:rsidP="00B53AC1">
      <w:pPr>
        <w:spacing w:line="252" w:lineRule="auto"/>
        <w:jc w:val="center"/>
        <w:rPr>
          <w:b/>
          <w:color w:val="008000"/>
        </w:rPr>
      </w:pPr>
      <w:r>
        <w:rPr>
          <w:b/>
          <w:color w:val="008000"/>
        </w:rPr>
        <w:t xml:space="preserve">SAHRAYICEDİT MAH. ATATÜRK CAD. MESA KOZ PLAZA NO:69 K:11 D:146 KADIKÖY/İST. </w:t>
      </w:r>
    </w:p>
    <w:p w14:paraId="23FB863C" w14:textId="77777777" w:rsidR="00B53AC1" w:rsidRDefault="00B53AC1" w:rsidP="00B53AC1">
      <w:pPr>
        <w:spacing w:line="252" w:lineRule="auto"/>
        <w:jc w:val="center"/>
        <w:rPr>
          <w:b/>
          <w:color w:val="008000"/>
        </w:rPr>
      </w:pPr>
      <w:r>
        <w:rPr>
          <w:b/>
          <w:color w:val="008000"/>
        </w:rPr>
        <w:t xml:space="preserve">TEL:0 216 759 33 58 </w:t>
      </w:r>
      <w:proofErr w:type="spellStart"/>
      <w:r>
        <w:rPr>
          <w:b/>
          <w:color w:val="008000"/>
        </w:rPr>
        <w:t>pbx</w:t>
      </w:r>
      <w:proofErr w:type="spellEnd"/>
    </w:p>
    <w:p w14:paraId="03597442" w14:textId="77777777" w:rsidR="00B53AC1" w:rsidRDefault="00B53AC1" w:rsidP="00B53AC1">
      <w:pPr>
        <w:spacing w:line="252" w:lineRule="auto"/>
        <w:jc w:val="center"/>
        <w:rPr>
          <w:bCs/>
          <w:color w:val="008000"/>
        </w:rPr>
      </w:pPr>
      <w:r>
        <w:rPr>
          <w:bCs/>
          <w:color w:val="008000"/>
        </w:rPr>
        <w:t>FAX:0 216 759 49 39</w:t>
      </w:r>
    </w:p>
    <w:tbl>
      <w:tblPr>
        <w:tblW w:w="9681" w:type="dxa"/>
        <w:tblInd w:w="-108" w:type="dxa"/>
        <w:tblCellMar>
          <w:left w:w="70" w:type="dxa"/>
          <w:right w:w="70" w:type="dxa"/>
        </w:tblCellMar>
        <w:tblLook w:val="04A0" w:firstRow="1" w:lastRow="0" w:firstColumn="1" w:lastColumn="0" w:noHBand="0" w:noVBand="1"/>
      </w:tblPr>
      <w:tblGrid>
        <w:gridCol w:w="2689"/>
        <w:gridCol w:w="384"/>
        <w:gridCol w:w="6608"/>
      </w:tblGrid>
      <w:tr w:rsidR="00B53AC1" w14:paraId="0294DA39" w14:textId="77777777" w:rsidTr="00980304">
        <w:trPr>
          <w:cantSplit/>
          <w:trHeight w:val="247"/>
        </w:trPr>
        <w:tc>
          <w:tcPr>
            <w:tcW w:w="9681" w:type="dxa"/>
            <w:gridSpan w:val="3"/>
            <w:hideMark/>
          </w:tcPr>
          <w:p w14:paraId="19CDADE5" w14:textId="77777777" w:rsidR="00B53AC1" w:rsidRDefault="00B53AC1" w:rsidP="00980304">
            <w:pPr>
              <w:spacing w:line="252" w:lineRule="auto"/>
              <w:jc w:val="center"/>
              <w:rPr>
                <w:rFonts w:ascii="Times New Roman" w:eastAsia="Times New Roman" w:hAnsi="Times New Roman" w:cs="Times New Roman"/>
              </w:rPr>
            </w:pPr>
            <w:r>
              <w:rPr>
                <w:b/>
                <w:u w:val="single"/>
              </w:rPr>
              <w:t xml:space="preserve">S   İ   R   K   Ü   L   E   R           </w:t>
            </w:r>
            <w:proofErr w:type="spellStart"/>
            <w:r>
              <w:rPr>
                <w:b/>
                <w:u w:val="single"/>
              </w:rPr>
              <w:t>R</w:t>
            </w:r>
            <w:proofErr w:type="spellEnd"/>
            <w:r>
              <w:rPr>
                <w:b/>
                <w:u w:val="single"/>
              </w:rPr>
              <w:t xml:space="preserve">   A   P   O   R          .</w:t>
            </w:r>
          </w:p>
        </w:tc>
      </w:tr>
      <w:tr w:rsidR="00B53AC1" w14:paraId="2D4BD02B" w14:textId="77777777" w:rsidTr="00980304">
        <w:trPr>
          <w:cantSplit/>
          <w:trHeight w:val="225"/>
        </w:trPr>
        <w:tc>
          <w:tcPr>
            <w:tcW w:w="9681" w:type="dxa"/>
            <w:gridSpan w:val="3"/>
            <w:hideMark/>
          </w:tcPr>
          <w:p w14:paraId="238480BE" w14:textId="77777777" w:rsidR="00B53AC1" w:rsidRDefault="00B53AC1" w:rsidP="00980304">
            <w:pPr>
              <w:spacing w:line="252" w:lineRule="auto"/>
              <w:rPr>
                <w:rFonts w:ascii="Times New Roman" w:eastAsia="Times New Roman" w:hAnsi="Times New Roman" w:cs="Times New Roman"/>
              </w:rPr>
            </w:pPr>
            <w:r>
              <w:rPr>
                <w:b/>
              </w:rPr>
              <w:t xml:space="preserve">Destek YMM  LTD. </w:t>
            </w:r>
            <w:proofErr w:type="spellStart"/>
            <w:r>
              <w:rPr>
                <w:b/>
              </w:rPr>
              <w:t>ŞTİ’nin</w:t>
            </w:r>
            <w:proofErr w:type="spellEnd"/>
            <w:r>
              <w:rPr>
                <w:b/>
              </w:rPr>
              <w:t xml:space="preserve"> müşterilerine özel bir hizmetidir. İzinsiz çoğaltılamaz, iktibas edilemez.</w:t>
            </w:r>
          </w:p>
        </w:tc>
      </w:tr>
      <w:tr w:rsidR="00B53AC1" w14:paraId="25184517" w14:textId="77777777" w:rsidTr="00980304">
        <w:trPr>
          <w:trHeight w:val="225"/>
        </w:trPr>
        <w:tc>
          <w:tcPr>
            <w:tcW w:w="2689" w:type="dxa"/>
            <w:hideMark/>
          </w:tcPr>
          <w:p w14:paraId="507DD59D" w14:textId="77777777" w:rsidR="00B53AC1" w:rsidRDefault="00B53AC1" w:rsidP="00980304">
            <w:pPr>
              <w:spacing w:line="252" w:lineRule="auto"/>
              <w:rPr>
                <w:rFonts w:ascii="Times New Roman" w:eastAsia="Times New Roman" w:hAnsi="Times New Roman" w:cs="Times New Roman"/>
                <w:b/>
              </w:rPr>
            </w:pPr>
            <w:r>
              <w:rPr>
                <w:rFonts w:ascii="Times New Roman" w:hAnsi="Times New Roman" w:cs="Times New Roman"/>
                <w:b/>
              </w:rPr>
              <w:t>SİRKÜLER TARİHİ</w:t>
            </w:r>
          </w:p>
        </w:tc>
        <w:tc>
          <w:tcPr>
            <w:tcW w:w="384" w:type="dxa"/>
            <w:hideMark/>
          </w:tcPr>
          <w:p w14:paraId="0678D9A1" w14:textId="77777777" w:rsidR="00B53AC1" w:rsidRDefault="00B53AC1" w:rsidP="00980304">
            <w:pPr>
              <w:spacing w:line="252" w:lineRule="auto"/>
              <w:rPr>
                <w:rFonts w:ascii="Times New Roman" w:eastAsia="Times New Roman" w:hAnsi="Times New Roman" w:cs="Times New Roman"/>
                <w:b/>
              </w:rPr>
            </w:pPr>
            <w:r>
              <w:rPr>
                <w:b/>
              </w:rPr>
              <w:t>:</w:t>
            </w:r>
          </w:p>
        </w:tc>
        <w:tc>
          <w:tcPr>
            <w:tcW w:w="6608" w:type="dxa"/>
            <w:hideMark/>
          </w:tcPr>
          <w:p w14:paraId="6541B70C" w14:textId="77777777" w:rsidR="00B53AC1" w:rsidRDefault="00B53AC1" w:rsidP="00980304">
            <w:pPr>
              <w:spacing w:line="252" w:lineRule="auto"/>
              <w:rPr>
                <w:rFonts w:ascii="Times New Roman" w:eastAsia="Times New Roman" w:hAnsi="Times New Roman" w:cs="Times New Roman"/>
                <w:b/>
              </w:rPr>
            </w:pPr>
            <w:r>
              <w:rPr>
                <w:rFonts w:ascii="Times New Roman" w:hAnsi="Times New Roman" w:cs="Times New Roman"/>
                <w:b/>
              </w:rPr>
              <w:t>25/12/2025</w:t>
            </w:r>
          </w:p>
        </w:tc>
      </w:tr>
      <w:tr w:rsidR="00B53AC1" w14:paraId="0D35E816" w14:textId="77777777" w:rsidTr="00980304">
        <w:trPr>
          <w:trHeight w:val="225"/>
        </w:trPr>
        <w:tc>
          <w:tcPr>
            <w:tcW w:w="2689" w:type="dxa"/>
            <w:hideMark/>
          </w:tcPr>
          <w:p w14:paraId="2F1F5541" w14:textId="77777777" w:rsidR="00B53AC1" w:rsidRDefault="00B53AC1" w:rsidP="00980304">
            <w:pPr>
              <w:spacing w:line="252" w:lineRule="auto"/>
              <w:rPr>
                <w:rFonts w:ascii="Times New Roman" w:eastAsia="Times New Roman" w:hAnsi="Times New Roman" w:cs="Times New Roman"/>
                <w:b/>
              </w:rPr>
            </w:pPr>
            <w:r>
              <w:rPr>
                <w:rFonts w:ascii="Times New Roman" w:hAnsi="Times New Roman" w:cs="Times New Roman"/>
                <w:b/>
              </w:rPr>
              <w:t>SİRKÜLER SAYI</w:t>
            </w:r>
          </w:p>
        </w:tc>
        <w:tc>
          <w:tcPr>
            <w:tcW w:w="384" w:type="dxa"/>
            <w:hideMark/>
          </w:tcPr>
          <w:p w14:paraId="6016668B" w14:textId="77777777" w:rsidR="00B53AC1" w:rsidRDefault="00B53AC1" w:rsidP="00980304">
            <w:pPr>
              <w:spacing w:line="252" w:lineRule="auto"/>
              <w:rPr>
                <w:rFonts w:ascii="Times New Roman" w:eastAsia="Times New Roman" w:hAnsi="Times New Roman" w:cs="Times New Roman"/>
                <w:b/>
              </w:rPr>
            </w:pPr>
            <w:r>
              <w:rPr>
                <w:b/>
              </w:rPr>
              <w:t>:</w:t>
            </w:r>
          </w:p>
        </w:tc>
        <w:tc>
          <w:tcPr>
            <w:tcW w:w="6608" w:type="dxa"/>
            <w:hideMark/>
          </w:tcPr>
          <w:p w14:paraId="5668CAB8" w14:textId="4CB1EAF8" w:rsidR="00B53AC1" w:rsidRDefault="00B53AC1" w:rsidP="00980304">
            <w:pPr>
              <w:spacing w:line="252" w:lineRule="auto"/>
              <w:rPr>
                <w:rFonts w:ascii="Times New Roman" w:eastAsia="Times New Roman" w:hAnsi="Times New Roman" w:cs="Times New Roman"/>
                <w:b/>
              </w:rPr>
            </w:pPr>
            <w:r>
              <w:rPr>
                <w:rFonts w:ascii="Times New Roman" w:hAnsi="Times New Roman" w:cs="Times New Roman"/>
                <w:b/>
              </w:rPr>
              <w:t>2025/18</w:t>
            </w:r>
            <w:r>
              <w:rPr>
                <w:rFonts w:ascii="Times New Roman" w:hAnsi="Times New Roman" w:cs="Times New Roman"/>
                <w:b/>
              </w:rPr>
              <w:t>2</w:t>
            </w:r>
          </w:p>
        </w:tc>
      </w:tr>
      <w:tr w:rsidR="00B53AC1" w14:paraId="6BC7A6A8" w14:textId="77777777" w:rsidTr="00980304">
        <w:trPr>
          <w:trHeight w:val="607"/>
        </w:trPr>
        <w:tc>
          <w:tcPr>
            <w:tcW w:w="2689" w:type="dxa"/>
            <w:hideMark/>
          </w:tcPr>
          <w:p w14:paraId="68155567" w14:textId="77777777" w:rsidR="00B53AC1" w:rsidRDefault="00B53AC1" w:rsidP="00980304">
            <w:pPr>
              <w:spacing w:line="252" w:lineRule="auto"/>
              <w:rPr>
                <w:rFonts w:ascii="Times New Roman" w:eastAsia="Times New Roman" w:hAnsi="Times New Roman" w:cs="Times New Roman"/>
                <w:b/>
                <w:sz w:val="24"/>
                <w:szCs w:val="24"/>
              </w:rPr>
            </w:pPr>
            <w:r>
              <w:rPr>
                <w:rFonts w:ascii="Times New Roman" w:hAnsi="Times New Roman" w:cs="Times New Roman"/>
                <w:b/>
                <w:sz w:val="24"/>
                <w:szCs w:val="24"/>
              </w:rPr>
              <w:t>KONU</w:t>
            </w:r>
          </w:p>
        </w:tc>
        <w:tc>
          <w:tcPr>
            <w:tcW w:w="384" w:type="dxa"/>
            <w:hideMark/>
          </w:tcPr>
          <w:p w14:paraId="157A4037" w14:textId="77777777" w:rsidR="00B53AC1" w:rsidRDefault="00B53AC1" w:rsidP="00980304">
            <w:pPr>
              <w:spacing w:line="252" w:lineRule="auto"/>
              <w:rPr>
                <w:rFonts w:ascii="Times New Roman" w:eastAsia="Times New Roman" w:hAnsi="Times New Roman" w:cs="Times New Roman"/>
                <w:b/>
                <w:sz w:val="24"/>
                <w:szCs w:val="24"/>
              </w:rPr>
            </w:pPr>
            <w:r>
              <w:rPr>
                <w:rFonts w:ascii="Times New Roman" w:hAnsi="Times New Roman" w:cs="Times New Roman"/>
                <w:b/>
                <w:sz w:val="24"/>
                <w:szCs w:val="24"/>
              </w:rPr>
              <w:t>:</w:t>
            </w:r>
          </w:p>
        </w:tc>
        <w:tc>
          <w:tcPr>
            <w:tcW w:w="6608" w:type="dxa"/>
            <w:vAlign w:val="center"/>
            <w:hideMark/>
          </w:tcPr>
          <w:p w14:paraId="0DFE31C2" w14:textId="6090107F" w:rsidR="00B53AC1" w:rsidRDefault="00B53AC1" w:rsidP="00B53AC1">
            <w:pPr>
              <w:jc w:val="both"/>
              <w:rPr>
                <w:rFonts w:ascii="Times New Roman" w:eastAsia="Times New Roman" w:hAnsi="Times New Roman" w:cs="Times New Roman"/>
                <w:color w:val="2D4050"/>
                <w:kern w:val="0"/>
                <w:sz w:val="24"/>
                <w:szCs w:val="24"/>
                <w:lang w:eastAsia="tr-TR"/>
                <w14:ligatures w14:val="none"/>
              </w:rPr>
            </w:pPr>
            <w:r w:rsidRPr="00B53AC1">
              <w:rPr>
                <w:rFonts w:ascii="Times New Roman" w:hAnsi="Times New Roman" w:cs="Times New Roman"/>
                <w:b/>
                <w:bCs/>
                <w:sz w:val="24"/>
                <w:szCs w:val="24"/>
              </w:rPr>
              <w:t xml:space="preserve">Yeminli Mali Müşavirlik Tasdik Raporu Eki Karşıt İnceleme Tutanaklarının Elektronik Ortamda Düzenlenmesi, Onaylanması </w:t>
            </w:r>
            <w:r>
              <w:rPr>
                <w:rFonts w:ascii="Times New Roman" w:hAnsi="Times New Roman" w:cs="Times New Roman"/>
                <w:b/>
                <w:bCs/>
                <w:sz w:val="24"/>
                <w:szCs w:val="24"/>
              </w:rPr>
              <w:t>v</w:t>
            </w:r>
            <w:r w:rsidRPr="00B53AC1">
              <w:rPr>
                <w:rFonts w:ascii="Times New Roman" w:hAnsi="Times New Roman" w:cs="Times New Roman"/>
                <w:b/>
                <w:bCs/>
                <w:sz w:val="24"/>
                <w:szCs w:val="24"/>
              </w:rPr>
              <w:t xml:space="preserve">e Gönderilmesine İlişkin Tebliğ Yayımlandı </w:t>
            </w:r>
          </w:p>
        </w:tc>
      </w:tr>
    </w:tbl>
    <w:p w14:paraId="5F972C44" w14:textId="77777777" w:rsidR="00B53AC1" w:rsidRDefault="00B53AC1" w:rsidP="00B53AC1">
      <w:pPr>
        <w:jc w:val="both"/>
        <w:rPr>
          <w:rFonts w:ascii="Times New Roman" w:hAnsi="Times New Roman" w:cs="Times New Roman"/>
          <w:sz w:val="24"/>
          <w:szCs w:val="24"/>
        </w:rPr>
      </w:pPr>
    </w:p>
    <w:p w14:paraId="0C6A4CF6" w14:textId="77777777" w:rsidR="00B53AC1" w:rsidRDefault="00B53AC1" w:rsidP="00B53AC1">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B53AC1">
        <w:rPr>
          <w:rFonts w:ascii="Times New Roman" w:hAnsi="Times New Roman" w:cs="Times New Roman"/>
          <w:sz w:val="24"/>
          <w:szCs w:val="24"/>
        </w:rPr>
        <w:t>ÖZET</w:t>
      </w:r>
      <w:r>
        <w:rPr>
          <w:rFonts w:ascii="Times New Roman" w:hAnsi="Times New Roman" w:cs="Times New Roman"/>
          <w:sz w:val="24"/>
          <w:szCs w:val="24"/>
        </w:rPr>
        <w:t>:</w:t>
      </w:r>
    </w:p>
    <w:p w14:paraId="4AE53F19" w14:textId="77777777" w:rsidR="00B53AC1" w:rsidRDefault="00B53AC1" w:rsidP="00B53AC1">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B53AC1">
        <w:rPr>
          <w:rFonts w:ascii="Times New Roman" w:hAnsi="Times New Roman" w:cs="Times New Roman"/>
          <w:sz w:val="24"/>
          <w:szCs w:val="24"/>
        </w:rPr>
        <w:t xml:space="preserve">Yeminli Mali Müşavirlik Tasdik Raporlarına Eklenen Karşıt İnceleme Tutanaklarının Elektronik Ortamda Gönderilmesi Hakkında Tebliğ (Sıra No: 1)’de yeminli mali müşavirlik tasdik raporlarına eklenen karşıt inceleme tutanaklarının dijital vergi dairesi üzerinden elektronik ortamda gönderilmesine ilişkin usul ve esaslar belirlendi. </w:t>
      </w:r>
    </w:p>
    <w:p w14:paraId="4C2BF98D" w14:textId="77777777" w:rsidR="00B53AC1" w:rsidRDefault="00B53AC1" w:rsidP="00B53AC1">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B53AC1">
        <w:rPr>
          <w:rFonts w:ascii="Times New Roman" w:hAnsi="Times New Roman" w:cs="Times New Roman"/>
          <w:sz w:val="24"/>
          <w:szCs w:val="24"/>
        </w:rPr>
        <w:t xml:space="preserve">1. Karşıt inceleme yapan yeminli mali müşavirler tarafından dijital vergi dairesi sistemi üzerinden düzenlenen, onaylanan ve gönderilen karşıt inceleme tutanakları, karşıt inceleme yapan yeminli mali müşavirler tarafından imzalanmış ve mühürlenmiş bir belge olarak kabul edilecektir. </w:t>
      </w:r>
    </w:p>
    <w:p w14:paraId="73A2516A" w14:textId="351A473F" w:rsidR="00B53AC1" w:rsidRDefault="00B53AC1" w:rsidP="00B53AC1">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B53AC1">
        <w:rPr>
          <w:rFonts w:ascii="Times New Roman" w:hAnsi="Times New Roman" w:cs="Times New Roman"/>
          <w:sz w:val="24"/>
          <w:szCs w:val="24"/>
        </w:rPr>
        <w:t xml:space="preserve">2. Karşıt inceleme tutanaklarının yeminli mali müşavirler tarafından dijital vergi dairesi üzerinden oluşturulmasına, onaylanmasına ve gönderilmesine 1 Ocak 2026 tarihinden itibaren ihtiyari olarak başlanacak ve söz konusu karşıt inceleme tutanakları 1 Temmuz 2026 tarihinden itibaren zorunlu olarak sadece elektronik ortamda gönderilecektir. </w:t>
      </w:r>
    </w:p>
    <w:p w14:paraId="10D66707" w14:textId="77777777" w:rsidR="00B53AC1" w:rsidRDefault="00B53AC1" w:rsidP="00B53AC1">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B53AC1">
        <w:rPr>
          <w:rFonts w:ascii="Times New Roman" w:hAnsi="Times New Roman" w:cs="Times New Roman"/>
          <w:sz w:val="24"/>
          <w:szCs w:val="24"/>
        </w:rPr>
        <w:t xml:space="preserve">3. Yeminli mali müşavirler tarafından cevaplanmak üzere dijital vergi dairesi sistemi üzerinden elektronik ortamda oluşturulan ve gönderilen mükellef nezdindeki karşıt inceleme tutanaklarına ilişkin verilen cevaplar, cevabı veren bu mükellef veya yetkili temsilcileri tarafından imzalanmış bir belge olarak kabul edilecektir. </w:t>
      </w:r>
    </w:p>
    <w:p w14:paraId="55138ECE" w14:textId="77777777" w:rsidR="00B53AC1" w:rsidRDefault="00B53AC1" w:rsidP="00B53AC1">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B53AC1">
        <w:rPr>
          <w:rFonts w:ascii="Times New Roman" w:hAnsi="Times New Roman" w:cs="Times New Roman"/>
          <w:sz w:val="24"/>
          <w:szCs w:val="24"/>
        </w:rPr>
        <w:t xml:space="preserve">4. Söz konusu karşıt inceleme tutanakları ile ilgili olarak, mükellef tarafından alt kullanıcı yetkisi verilmesi halinde, mükellefle aracılık ve sorumluluk sözleşmesi bulunan serbest muhasebeci/serbest muhasebeci mali müşavirler tarafından karşıt inceleme tutanaklarında görüntüleme ve düzenleme yapılabilir ancak onaylama yetkisi mükellef veya kanuni temsilcilerine aittir. </w:t>
      </w:r>
    </w:p>
    <w:p w14:paraId="1C3C6094" w14:textId="77777777" w:rsidR="00B53AC1" w:rsidRDefault="00B53AC1" w:rsidP="00B53AC1">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B53AC1">
        <w:rPr>
          <w:rFonts w:ascii="Times New Roman" w:hAnsi="Times New Roman" w:cs="Times New Roman"/>
          <w:sz w:val="24"/>
          <w:szCs w:val="24"/>
        </w:rPr>
        <w:t xml:space="preserve">5. Serbest muhasebeci/serbest muhasebeci mali müşavirlerin karşıt inceleme tutanaklarına ilişkin olarak ilgili mükelleflere verdikleri hizmet karşılığında mükelleften her bir karşıt </w:t>
      </w:r>
      <w:r w:rsidRPr="00B53AC1">
        <w:rPr>
          <w:rFonts w:ascii="Times New Roman" w:hAnsi="Times New Roman" w:cs="Times New Roman"/>
          <w:sz w:val="24"/>
          <w:szCs w:val="24"/>
        </w:rPr>
        <w:lastRenderedPageBreak/>
        <w:t xml:space="preserve">inceleme tutanağı için alacakları ücret, Serbest Muhasebecilik, Serbest Muhasebeci Mali Müşavirlik ve Yeminli Mali Müşavirlik Asgari Ücret Tarifesinde belirlenmiştir. </w:t>
      </w:r>
    </w:p>
    <w:p w14:paraId="06350DBF" w14:textId="77777777" w:rsidR="00B53AC1" w:rsidRDefault="00B53AC1" w:rsidP="00B53AC1">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B53AC1">
        <w:rPr>
          <w:rFonts w:ascii="Times New Roman" w:hAnsi="Times New Roman" w:cs="Times New Roman"/>
          <w:sz w:val="24"/>
          <w:szCs w:val="24"/>
        </w:rPr>
        <w:t xml:space="preserve">6. Nezdinde karşıt inceleme yapılan mükellefler, yeminli mali müşavirlerin karşıt incelemeye ilişkin taleplerini talep yazısının kendilerine tebliğinden itibaren 30 gün içerisinde yerine getirirler. Yeminli mali müşavirlerin karşıt incelemeye ilişkin taleplerinin yerine getirilmesinde defter ve belgelerin yeminli mali müşavirlere ibraz edilmesine ilişkin usul ve esasları düzenleyen 6/12/2000 tarihli ve 24252 sayılı Resmî </w:t>
      </w:r>
      <w:proofErr w:type="spellStart"/>
      <w:r w:rsidRPr="00B53AC1">
        <w:rPr>
          <w:rFonts w:ascii="Times New Roman" w:hAnsi="Times New Roman" w:cs="Times New Roman"/>
          <w:sz w:val="24"/>
          <w:szCs w:val="24"/>
        </w:rPr>
        <w:t>Gazete’de</w:t>
      </w:r>
      <w:proofErr w:type="spellEnd"/>
      <w:r w:rsidRPr="00B53AC1">
        <w:rPr>
          <w:rFonts w:ascii="Times New Roman" w:hAnsi="Times New Roman" w:cs="Times New Roman"/>
          <w:sz w:val="24"/>
          <w:szCs w:val="24"/>
        </w:rPr>
        <w:t xml:space="preserve"> yayımlanan Serbest Muhasebeci Mali Müşavirlik ve Yeminli Mali Müşavirlik Kanunu Genel Tebliği (Sıra No: 27) uygulanır. </w:t>
      </w:r>
    </w:p>
    <w:p w14:paraId="5801B5F0" w14:textId="77777777" w:rsidR="00B53AC1" w:rsidRDefault="00B53AC1" w:rsidP="00B53AC1">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B53AC1">
        <w:rPr>
          <w:rFonts w:ascii="Times New Roman" w:hAnsi="Times New Roman" w:cs="Times New Roman"/>
          <w:sz w:val="24"/>
          <w:szCs w:val="24"/>
        </w:rPr>
        <w:t xml:space="preserve">7. Tebliğ kapsamında elektronik ortamda oluşturulacak, onaylanacak ve gönderilecek karşıt inceleme tutanağı formatı, Başkanlık tarafından https://dijital.gib.gov.tr/ adresi üzerinden yayımlanır. </w:t>
      </w:r>
    </w:p>
    <w:p w14:paraId="265133F8" w14:textId="77777777" w:rsidR="00B53AC1" w:rsidRDefault="00B53AC1" w:rsidP="00B53AC1">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B53AC1">
        <w:rPr>
          <w:rFonts w:ascii="Times New Roman" w:hAnsi="Times New Roman" w:cs="Times New Roman"/>
          <w:sz w:val="24"/>
          <w:szCs w:val="24"/>
        </w:rPr>
        <w:t xml:space="preserve">8. Karşıt inceleme tutanaklarının zorunlu olarak sadece elektronik ortamda gönderileceği tarihten itibaren, kâğıt ortamında düzenlenmiş karşıt inceleme tutanakları, vergi dairelerine ibraz edilemez, ibraz edilmiş olsa dahi hukuki geçerliliği bulunmadığından vergi daireleri tarafından dikkate alınmaz. </w:t>
      </w:r>
    </w:p>
    <w:p w14:paraId="7BDA1FA7" w14:textId="77777777" w:rsidR="00B53AC1" w:rsidRDefault="00B53AC1" w:rsidP="00B53AC1">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B53AC1">
        <w:rPr>
          <w:rFonts w:ascii="Times New Roman" w:hAnsi="Times New Roman" w:cs="Times New Roman"/>
          <w:sz w:val="24"/>
          <w:szCs w:val="24"/>
        </w:rPr>
        <w:t xml:space="preserve">9. Karşıt inceleme yazısına süresinde cevap vermeyen ya da eksik veya gerçeğe aykırı bilgi veren mükellefler hakkında 213 sayılı Kanunun mükerrer 355 inci maddesine göre işlem yapılacaktır. </w:t>
      </w:r>
    </w:p>
    <w:p w14:paraId="55E62675" w14:textId="77777777" w:rsidR="00B53AC1" w:rsidRDefault="00B53AC1" w:rsidP="00B53AC1">
      <w:pPr>
        <w:jc w:val="both"/>
        <w:rPr>
          <w:rFonts w:ascii="Times New Roman" w:hAnsi="Times New Roman" w:cs="Times New Roman"/>
          <w:sz w:val="24"/>
          <w:szCs w:val="24"/>
        </w:rPr>
      </w:pPr>
      <w:r w:rsidRPr="00B53AC1">
        <w:rPr>
          <w:rFonts w:ascii="Times New Roman" w:hAnsi="Times New Roman" w:cs="Times New Roman"/>
          <w:sz w:val="24"/>
          <w:szCs w:val="24"/>
        </w:rPr>
        <w:t xml:space="preserve">Yeminli mali müşavirler tarafından ilgili kanun ve mevzuat hükümleri ile 1/6/1989 tarihli ve 3568 sayılı Serbest Muhasebeci Mali Müşavirlik ve Yeminli Mali Müşavirlik Kanunu hükümlerine uygun düzenlenerek dijital vergi dairesi üzerinden elektronik ortamda gönderilen yeminli mali müşavirlik tasdik raporlarına eklenen karşıt inceleme tutanaklarının dijital vergi dairesi üzerinden elektronik ortamda gönderilmesine ilişkin olarak “Yeminli Mali Müşavirlik Tasdik Raporlarına Eklenen Karşıt İnceleme Tutanaklarının Elektronik Ortamda Gönderilmesi Hakkında Tebliğ (Sıra No: 1)” 24.12.2025 tarih ve 33117 sayılı Resmi </w:t>
      </w:r>
      <w:proofErr w:type="spellStart"/>
      <w:r w:rsidRPr="00B53AC1">
        <w:rPr>
          <w:rFonts w:ascii="Times New Roman" w:hAnsi="Times New Roman" w:cs="Times New Roman"/>
          <w:sz w:val="24"/>
          <w:szCs w:val="24"/>
        </w:rPr>
        <w:t>Gazete’de</w:t>
      </w:r>
      <w:proofErr w:type="spellEnd"/>
      <w:r w:rsidRPr="00B53AC1">
        <w:rPr>
          <w:rFonts w:ascii="Times New Roman" w:hAnsi="Times New Roman" w:cs="Times New Roman"/>
          <w:sz w:val="24"/>
          <w:szCs w:val="24"/>
        </w:rPr>
        <w:t xml:space="preserve"> yayımlanmıştır. </w:t>
      </w:r>
    </w:p>
    <w:p w14:paraId="791961E5" w14:textId="145D2F24" w:rsidR="00B53AC1" w:rsidRDefault="00B53AC1" w:rsidP="00B53AC1">
      <w:pPr>
        <w:jc w:val="both"/>
        <w:rPr>
          <w:rFonts w:ascii="Times New Roman" w:hAnsi="Times New Roman" w:cs="Times New Roman"/>
          <w:sz w:val="24"/>
          <w:szCs w:val="24"/>
        </w:rPr>
      </w:pPr>
      <w:r w:rsidRPr="00B53AC1">
        <w:rPr>
          <w:rFonts w:ascii="Times New Roman" w:hAnsi="Times New Roman" w:cs="Times New Roman"/>
          <w:sz w:val="24"/>
          <w:szCs w:val="24"/>
        </w:rPr>
        <w:t xml:space="preserve">Tebliğde yapılan düzenlemeler özetle aşağıdaki gibidir. </w:t>
      </w:r>
    </w:p>
    <w:p w14:paraId="3107D402" w14:textId="77777777" w:rsidR="00B53AC1" w:rsidRDefault="00B53AC1" w:rsidP="00B53AC1">
      <w:pPr>
        <w:jc w:val="both"/>
        <w:rPr>
          <w:rFonts w:ascii="Times New Roman" w:hAnsi="Times New Roman" w:cs="Times New Roman"/>
          <w:sz w:val="24"/>
          <w:szCs w:val="24"/>
        </w:rPr>
      </w:pPr>
      <w:r w:rsidRPr="00B53AC1">
        <w:rPr>
          <w:rFonts w:ascii="Times New Roman" w:hAnsi="Times New Roman" w:cs="Times New Roman"/>
          <w:sz w:val="24"/>
          <w:szCs w:val="24"/>
        </w:rPr>
        <w:t xml:space="preserve">Amaç ve kapsam </w:t>
      </w:r>
    </w:p>
    <w:p w14:paraId="2405FA3F" w14:textId="5DCD88D9" w:rsidR="00B53AC1" w:rsidRDefault="00B53AC1" w:rsidP="00B53AC1">
      <w:pPr>
        <w:jc w:val="both"/>
        <w:rPr>
          <w:rFonts w:ascii="Times New Roman" w:hAnsi="Times New Roman" w:cs="Times New Roman"/>
          <w:sz w:val="24"/>
          <w:szCs w:val="24"/>
        </w:rPr>
      </w:pPr>
      <w:r w:rsidRPr="00B53AC1">
        <w:rPr>
          <w:rFonts w:ascii="Times New Roman" w:hAnsi="Times New Roman" w:cs="Times New Roman"/>
          <w:sz w:val="24"/>
          <w:szCs w:val="24"/>
        </w:rPr>
        <w:t xml:space="preserve">Tebliğin amacı; yeminli mali müşavirlerin, 3568 sayılı Kanun ve ilgili diğer mevzuat hükümleri çerçevesinde düzenlemiş oldukları yeminli mali müşavirlik tasdik raporlarına eklenen karşıt inceleme tutanaklarının düzenlenmesi, onaylanması ve gönderilmesinde gelişen bilgi işlem teknolojilerinden yararlanmak ve söz konusu tutanakların kolay, hızlı, ekonomik ve güvenilir bir şekilde idareye intikalini sağlamaktır. Tebliğ; yeminli mali müşavirlik tasdik raporlarını dijital vergi dairesi üzerinden elektronik ortamda gönderen yeminli mali müşavirlerin anılan raporlara eklenen karşıt inceleme tutanaklarını da dijital vergi dairesi üzerinden elektronik ortamda gönderebilmelerine ilişkin usul ve esasları kapsar. Tanımlar Tebliğde geçen; </w:t>
      </w:r>
    </w:p>
    <w:p w14:paraId="25D11947" w14:textId="61C37FAD" w:rsidR="00B53AC1" w:rsidRDefault="00B53AC1" w:rsidP="00B53AC1">
      <w:pPr>
        <w:jc w:val="both"/>
        <w:rPr>
          <w:rFonts w:ascii="Times New Roman" w:hAnsi="Times New Roman" w:cs="Times New Roman"/>
          <w:sz w:val="24"/>
          <w:szCs w:val="24"/>
        </w:rPr>
      </w:pPr>
      <w:r w:rsidRPr="00B53AC1">
        <w:rPr>
          <w:rFonts w:ascii="Times New Roman" w:hAnsi="Times New Roman" w:cs="Times New Roman"/>
          <w:sz w:val="24"/>
          <w:szCs w:val="24"/>
        </w:rPr>
        <w:t xml:space="preserve">a) Başkanlık: Gelir İdaresi Başkanlığını, </w:t>
      </w:r>
    </w:p>
    <w:p w14:paraId="2FF274CD" w14:textId="77777777" w:rsidR="00B53AC1" w:rsidRDefault="00B53AC1" w:rsidP="00B53AC1">
      <w:pPr>
        <w:jc w:val="both"/>
        <w:rPr>
          <w:rFonts w:ascii="Times New Roman" w:hAnsi="Times New Roman" w:cs="Times New Roman"/>
          <w:sz w:val="24"/>
          <w:szCs w:val="24"/>
        </w:rPr>
      </w:pPr>
      <w:r w:rsidRPr="00B53AC1">
        <w:rPr>
          <w:rFonts w:ascii="Times New Roman" w:hAnsi="Times New Roman" w:cs="Times New Roman"/>
          <w:sz w:val="24"/>
          <w:szCs w:val="24"/>
        </w:rPr>
        <w:t xml:space="preserve">b) Dijital vergi dairesi: Başkanlığın görev tanımları içerisinde yer alan hizmetlerin sunulması veya kişilerin vergisel ödevlerini yerine getirmesi amacıyla şifre, elektronik imza veya diğer güvenlik araçları kullanılmak suretiyle erişim sağlanan internet adresi (dijital.gib.gov.tr) ve mobil uygulamalar üzerinde oluşturulan elektronik ortamı, </w:t>
      </w:r>
    </w:p>
    <w:p w14:paraId="22CDAA69" w14:textId="77777777" w:rsidR="00B53AC1" w:rsidRDefault="00B53AC1" w:rsidP="00B53AC1">
      <w:pPr>
        <w:jc w:val="both"/>
        <w:rPr>
          <w:rFonts w:ascii="Times New Roman" w:hAnsi="Times New Roman" w:cs="Times New Roman"/>
          <w:sz w:val="24"/>
          <w:szCs w:val="24"/>
        </w:rPr>
      </w:pPr>
      <w:r w:rsidRPr="00B53AC1">
        <w:rPr>
          <w:rFonts w:ascii="Times New Roman" w:hAnsi="Times New Roman" w:cs="Times New Roman"/>
          <w:sz w:val="24"/>
          <w:szCs w:val="24"/>
        </w:rPr>
        <w:lastRenderedPageBreak/>
        <w:t xml:space="preserve">c) Karşıt inceleme: Yeminli mali müşavirlerin tasdike konu işlemin gerçek mahiyetinin ortaya çıkarılmasını sağlamak amacıyla işlemlerini tasdik ettikleri mükellefe mal veya hizmet satan mükellefler ile incelenen işlemin özelliğine göre daha alt kademedeki mükellefler nezdinde yaptıkları incelemeyi, </w:t>
      </w:r>
    </w:p>
    <w:p w14:paraId="2D3FEED0" w14:textId="77777777" w:rsidR="00B53AC1" w:rsidRDefault="00B53AC1" w:rsidP="00B53AC1">
      <w:pPr>
        <w:jc w:val="both"/>
        <w:rPr>
          <w:rFonts w:ascii="Times New Roman" w:hAnsi="Times New Roman" w:cs="Times New Roman"/>
          <w:sz w:val="24"/>
          <w:szCs w:val="24"/>
        </w:rPr>
      </w:pPr>
      <w:r w:rsidRPr="00B53AC1">
        <w:rPr>
          <w:rFonts w:ascii="Times New Roman" w:hAnsi="Times New Roman" w:cs="Times New Roman"/>
          <w:sz w:val="24"/>
          <w:szCs w:val="24"/>
        </w:rPr>
        <w:t xml:space="preserve">ç) Rapor: İnternet vergi dairesi sistemi üzerinden elektronik ortamda düzenlenen yeminli mali müşavirlik tasdik raporunu, </w:t>
      </w:r>
    </w:p>
    <w:p w14:paraId="4EA33162" w14:textId="77777777" w:rsidR="00B53AC1" w:rsidRDefault="00B53AC1" w:rsidP="00B53AC1">
      <w:pPr>
        <w:jc w:val="both"/>
        <w:rPr>
          <w:rFonts w:ascii="Times New Roman" w:hAnsi="Times New Roman" w:cs="Times New Roman"/>
          <w:sz w:val="24"/>
          <w:szCs w:val="24"/>
        </w:rPr>
      </w:pPr>
      <w:r w:rsidRPr="00B53AC1">
        <w:rPr>
          <w:rFonts w:ascii="Times New Roman" w:hAnsi="Times New Roman" w:cs="Times New Roman"/>
          <w:sz w:val="24"/>
          <w:szCs w:val="24"/>
        </w:rPr>
        <w:t xml:space="preserve">d) Sistem: Yeminli mali müşavirlerin düzenlemiş oldukları raporlar ile bu raporlara eklenen karşıt inceleme tutanaklarının dijital vergi dairesi sistemi üzerinden elektronik ortamda oluşturulması ve gönderilmesine imkân tanıyan sistemi, </w:t>
      </w:r>
    </w:p>
    <w:p w14:paraId="66801518" w14:textId="77777777" w:rsidR="00B53AC1" w:rsidRDefault="00B53AC1" w:rsidP="00B53AC1">
      <w:pPr>
        <w:jc w:val="both"/>
        <w:rPr>
          <w:rFonts w:ascii="Times New Roman" w:hAnsi="Times New Roman" w:cs="Times New Roman"/>
          <w:sz w:val="24"/>
          <w:szCs w:val="24"/>
        </w:rPr>
      </w:pPr>
      <w:r w:rsidRPr="00B53AC1">
        <w:rPr>
          <w:rFonts w:ascii="Times New Roman" w:hAnsi="Times New Roman" w:cs="Times New Roman"/>
          <w:sz w:val="24"/>
          <w:szCs w:val="24"/>
        </w:rPr>
        <w:t xml:space="preserve">e) Teknik kılavuz: Raporlar ile bu Raporlara eklenen karşıt inceleme tutanaklarının dijital vergi dairesi sistemi üzerinden elektronik ortamda oluşturulması ve gönderilmesine ilişkin açıklamaların yer aldığı kılavuzları, ifade eder. </w:t>
      </w:r>
    </w:p>
    <w:p w14:paraId="1BE743C3" w14:textId="77777777" w:rsidR="00B53AC1" w:rsidRDefault="00B53AC1" w:rsidP="00B53AC1">
      <w:pPr>
        <w:jc w:val="both"/>
        <w:rPr>
          <w:rFonts w:ascii="Times New Roman" w:hAnsi="Times New Roman" w:cs="Times New Roman"/>
          <w:sz w:val="24"/>
          <w:szCs w:val="24"/>
        </w:rPr>
      </w:pPr>
      <w:r w:rsidRPr="00B53AC1">
        <w:rPr>
          <w:rFonts w:ascii="Times New Roman" w:hAnsi="Times New Roman" w:cs="Times New Roman"/>
          <w:sz w:val="24"/>
          <w:szCs w:val="24"/>
        </w:rPr>
        <w:t xml:space="preserve">Yeminli mali müşavirlik tasdik raporu eklerinden olan karşıt inceleme tutanaklarının elektronik ortamda düzenlenmesi, onaylanması ve gönderilmesine ilişkin usul ve esaslar </w:t>
      </w:r>
    </w:p>
    <w:p w14:paraId="56FE4E39" w14:textId="77777777" w:rsidR="00B53AC1" w:rsidRDefault="00B53AC1" w:rsidP="00B53AC1">
      <w:pPr>
        <w:jc w:val="both"/>
        <w:rPr>
          <w:rFonts w:ascii="Times New Roman" w:hAnsi="Times New Roman" w:cs="Times New Roman"/>
          <w:sz w:val="24"/>
          <w:szCs w:val="24"/>
        </w:rPr>
      </w:pPr>
      <w:r w:rsidRPr="00B53AC1">
        <w:rPr>
          <w:rFonts w:ascii="Times New Roman" w:hAnsi="Times New Roman" w:cs="Times New Roman"/>
          <w:sz w:val="24"/>
          <w:szCs w:val="24"/>
        </w:rPr>
        <w:t xml:space="preserve">(1) Dijital vergi dairesi sistemi üzerinden elektronik ortamda gönderilen yeminli mali müşavirlik tasdik raporlarının eki olan karşıt inceleme tutanakları da dijital vergi dairesi sistemi üzerinden düzenlenir, onaylanır ve ilgili vergi dairesine elektronik ortamda gönderilir. </w:t>
      </w:r>
    </w:p>
    <w:p w14:paraId="5F003305" w14:textId="77777777" w:rsidR="00B53AC1" w:rsidRDefault="00B53AC1" w:rsidP="00B53AC1">
      <w:pPr>
        <w:jc w:val="both"/>
        <w:rPr>
          <w:rFonts w:ascii="Times New Roman" w:hAnsi="Times New Roman" w:cs="Times New Roman"/>
          <w:sz w:val="24"/>
          <w:szCs w:val="24"/>
        </w:rPr>
      </w:pPr>
      <w:r w:rsidRPr="00B53AC1">
        <w:rPr>
          <w:rFonts w:ascii="Times New Roman" w:hAnsi="Times New Roman" w:cs="Times New Roman"/>
          <w:sz w:val="24"/>
          <w:szCs w:val="24"/>
        </w:rPr>
        <w:t xml:space="preserve">(2) Karşıt inceleme yapan yeminli mali müşavirler tarafından elektronik ortamda sistem üzerinden düzenlenen, onaylanan ve gönderilen karşıt inceleme tutanakları, karşıt inceleme yapan yeminli mali müşavirler tarafından imzalanmış ve mühürlenmiş bir belge olarak kabul edilir. </w:t>
      </w:r>
    </w:p>
    <w:p w14:paraId="40140240" w14:textId="77777777" w:rsidR="00B53AC1" w:rsidRDefault="00B53AC1" w:rsidP="00B53AC1">
      <w:pPr>
        <w:jc w:val="both"/>
        <w:rPr>
          <w:rFonts w:ascii="Times New Roman" w:hAnsi="Times New Roman" w:cs="Times New Roman"/>
          <w:sz w:val="24"/>
          <w:szCs w:val="24"/>
        </w:rPr>
      </w:pPr>
      <w:r w:rsidRPr="00B53AC1">
        <w:rPr>
          <w:rFonts w:ascii="Times New Roman" w:hAnsi="Times New Roman" w:cs="Times New Roman"/>
          <w:sz w:val="24"/>
          <w:szCs w:val="24"/>
        </w:rPr>
        <w:t xml:space="preserve">(3) Yeminli mali müşavirler tarafından cevaplanmak üzere dijital vergi dairesi sistemi üzerinden elektronik ortamda oluşturulan ve gönderilen mükellef nezdindeki karşıt inceleme tutanaklarına ilişkin verilen cevaplar, cevabı veren bu mükellef veya yetkili temsilcileri tarafından imzalanmış bir belge olarak kabul edilir. Söz konusu karşıt inceleme tutanakları ile ilgili olarak, mükellef tarafından alt kullanıcı yetkisi verilmesi halinde, mükellefle aracılık ve sorumluluk sözleşmesi bulunan serbest muhasebeci/serbest muhasebeci mali müşavirler tarafından karşıt inceleme tutanaklarında görüntüleme ve düzenleme yapılabilir ancak onaylama yetkisi mükellef veya kanuni temsilcilerine aittir. Serbest muhasebeci/serbest muhasebeci mali müşavirlerin karşıt inceleme tutanaklarına ilişkin olarak ilgili mükelleflere verdikleri hizmet karşılığında alacakları ücret, Serbest Muhasebecilik, Serbest Muhasebeci Mali Müşavirlik ve Yeminli Mali Müşavirlik Asgari Ücret Tarifesi ile belirlenir. </w:t>
      </w:r>
    </w:p>
    <w:p w14:paraId="5C380B7D" w14:textId="77777777" w:rsidR="00B53AC1" w:rsidRDefault="00B53AC1" w:rsidP="00B53AC1">
      <w:pPr>
        <w:jc w:val="both"/>
        <w:rPr>
          <w:rFonts w:ascii="Times New Roman" w:hAnsi="Times New Roman" w:cs="Times New Roman"/>
          <w:sz w:val="24"/>
          <w:szCs w:val="24"/>
        </w:rPr>
      </w:pPr>
      <w:r w:rsidRPr="00B53AC1">
        <w:rPr>
          <w:rFonts w:ascii="Times New Roman" w:hAnsi="Times New Roman" w:cs="Times New Roman"/>
          <w:sz w:val="24"/>
          <w:szCs w:val="24"/>
        </w:rPr>
        <w:t xml:space="preserve">(4) Nezdinde karşıt inceleme yapılan mükellefler, yeminli mali müşavirlerin karşıt incelemeye ilişkin taleplerini talep yazısının kendilerine tebliğinden itibaren 30 gün içerisinde yerine getirirler. Yeminli mali müşavirlerin karşıt incelemeye ilişkin taleplerinin yerine getirilmesinde defter ve belgelerin yeminli mali müşavirlere ibraz edilmesine ilişkin usul ve esasları düzenleyen 6/12/2000 tarihli ve 24252 sayılı Resmî </w:t>
      </w:r>
      <w:proofErr w:type="spellStart"/>
      <w:r w:rsidRPr="00B53AC1">
        <w:rPr>
          <w:rFonts w:ascii="Times New Roman" w:hAnsi="Times New Roman" w:cs="Times New Roman"/>
          <w:sz w:val="24"/>
          <w:szCs w:val="24"/>
        </w:rPr>
        <w:t>Gazete’de</w:t>
      </w:r>
      <w:proofErr w:type="spellEnd"/>
      <w:r w:rsidRPr="00B53AC1">
        <w:rPr>
          <w:rFonts w:ascii="Times New Roman" w:hAnsi="Times New Roman" w:cs="Times New Roman"/>
          <w:sz w:val="24"/>
          <w:szCs w:val="24"/>
        </w:rPr>
        <w:t xml:space="preserve"> yayımlanan Serbest Muhasebeci Mali Müşavirlik ve Yeminli Mali Müşavirlik Kanunu Genel Tebliği (Sıra No: 27) uygulanır. </w:t>
      </w:r>
    </w:p>
    <w:p w14:paraId="31DDDAC9" w14:textId="77777777" w:rsidR="00B53AC1" w:rsidRDefault="00B53AC1" w:rsidP="00B53AC1">
      <w:pPr>
        <w:jc w:val="both"/>
        <w:rPr>
          <w:rFonts w:ascii="Times New Roman" w:hAnsi="Times New Roman" w:cs="Times New Roman"/>
          <w:sz w:val="24"/>
          <w:szCs w:val="24"/>
        </w:rPr>
      </w:pPr>
      <w:r w:rsidRPr="00B53AC1">
        <w:rPr>
          <w:rFonts w:ascii="Times New Roman" w:hAnsi="Times New Roman" w:cs="Times New Roman"/>
          <w:sz w:val="24"/>
          <w:szCs w:val="24"/>
        </w:rPr>
        <w:t xml:space="preserve">(5) Karşıt inceleme tutanaklarının zorunlu olarak sadece elektronik ortamda gönderileceği tarihten itibaren, kâğıt ortamında düzenlenmiş karşıt inceleme tutanakları, vergi dairelerine ibraz edilemez, ibraz edilmiş olsa dahi hukuki geçerliliği bulunmadığından vergi daireleri tarafından dikkate alınmaz. </w:t>
      </w:r>
    </w:p>
    <w:p w14:paraId="6D695D62" w14:textId="77777777" w:rsidR="00B53AC1" w:rsidRDefault="00B53AC1" w:rsidP="00B53AC1">
      <w:pPr>
        <w:jc w:val="both"/>
        <w:rPr>
          <w:rFonts w:ascii="Times New Roman" w:hAnsi="Times New Roman" w:cs="Times New Roman"/>
          <w:sz w:val="24"/>
          <w:szCs w:val="24"/>
        </w:rPr>
      </w:pPr>
      <w:r w:rsidRPr="00B53AC1">
        <w:rPr>
          <w:rFonts w:ascii="Times New Roman" w:hAnsi="Times New Roman" w:cs="Times New Roman"/>
          <w:sz w:val="24"/>
          <w:szCs w:val="24"/>
        </w:rPr>
        <w:lastRenderedPageBreak/>
        <w:t xml:space="preserve">Sorumluluk ve ceza uygulaması </w:t>
      </w:r>
    </w:p>
    <w:p w14:paraId="20D453D6" w14:textId="77777777" w:rsidR="00B53AC1" w:rsidRDefault="00B53AC1" w:rsidP="00B53AC1">
      <w:pPr>
        <w:jc w:val="both"/>
        <w:rPr>
          <w:rFonts w:ascii="Times New Roman" w:hAnsi="Times New Roman" w:cs="Times New Roman"/>
          <w:sz w:val="24"/>
          <w:szCs w:val="24"/>
        </w:rPr>
      </w:pPr>
      <w:r w:rsidRPr="00B53AC1">
        <w:rPr>
          <w:rFonts w:ascii="Times New Roman" w:hAnsi="Times New Roman" w:cs="Times New Roman"/>
          <w:sz w:val="24"/>
          <w:szCs w:val="24"/>
        </w:rPr>
        <w:t xml:space="preserve">Karşıt inceleme yazısına süresinde cevap vermeyen ya da eksik veya gerçeğe aykırı bilgi veren mükellefler hakkında 213 sayılı Kanunun mükerrer 355 inci maddesine göre işlem yapılır. </w:t>
      </w:r>
    </w:p>
    <w:p w14:paraId="14707392" w14:textId="77777777" w:rsidR="00B53AC1" w:rsidRDefault="00B53AC1" w:rsidP="00B53AC1">
      <w:pPr>
        <w:jc w:val="both"/>
        <w:rPr>
          <w:rFonts w:ascii="Times New Roman" w:hAnsi="Times New Roman" w:cs="Times New Roman"/>
          <w:sz w:val="24"/>
          <w:szCs w:val="24"/>
        </w:rPr>
      </w:pPr>
      <w:r w:rsidRPr="00B53AC1">
        <w:rPr>
          <w:rFonts w:ascii="Times New Roman" w:hAnsi="Times New Roman" w:cs="Times New Roman"/>
          <w:sz w:val="24"/>
          <w:szCs w:val="24"/>
        </w:rPr>
        <w:t xml:space="preserve">Diğer hususlar </w:t>
      </w:r>
    </w:p>
    <w:p w14:paraId="7871D642" w14:textId="77777777" w:rsidR="00B53AC1" w:rsidRDefault="00B53AC1" w:rsidP="00B53AC1">
      <w:pPr>
        <w:jc w:val="both"/>
        <w:rPr>
          <w:rFonts w:ascii="Times New Roman" w:hAnsi="Times New Roman" w:cs="Times New Roman"/>
          <w:sz w:val="24"/>
          <w:szCs w:val="24"/>
        </w:rPr>
      </w:pPr>
      <w:r w:rsidRPr="00B53AC1">
        <w:rPr>
          <w:rFonts w:ascii="Times New Roman" w:hAnsi="Times New Roman" w:cs="Times New Roman"/>
          <w:sz w:val="24"/>
          <w:szCs w:val="24"/>
        </w:rPr>
        <w:t xml:space="preserve">Bu Tebliğ kapsamında elektronik ortamda oluşturulacak, onaylanacak ve gönderilecek karşıt inceleme tutanağı formatı, Başkanlık tarafından https://dijital.gib.gov.tr/ adresi üzerinden yayımlanır. Başkanlık tarafından gerek görülmesi halinde https://dijital.gib.gov.tr/ adresinde yayımlanacak teknik kılavuzlar ile karşıt inceleme tutanağı formatında değişiklik yapılabilir. </w:t>
      </w:r>
    </w:p>
    <w:p w14:paraId="1D14A20C" w14:textId="77777777" w:rsidR="00B53AC1" w:rsidRDefault="00B53AC1" w:rsidP="00B53AC1">
      <w:pPr>
        <w:jc w:val="both"/>
        <w:rPr>
          <w:rFonts w:ascii="Times New Roman" w:hAnsi="Times New Roman" w:cs="Times New Roman"/>
          <w:sz w:val="24"/>
          <w:szCs w:val="24"/>
        </w:rPr>
      </w:pPr>
      <w:r w:rsidRPr="00B53AC1">
        <w:rPr>
          <w:rFonts w:ascii="Times New Roman" w:hAnsi="Times New Roman" w:cs="Times New Roman"/>
          <w:sz w:val="24"/>
          <w:szCs w:val="24"/>
        </w:rPr>
        <w:t xml:space="preserve">Karşıt inceleme tutanaklarının yeminli mali müşavirler tarafından dijital vergi dairesi üzerinden oluşturulmasına, onaylanmasına ve gönderilmesine 1/1/2026 tarihinden itibaren ihtiyari olarak başlanacak ve söz konusu karşıt inceleme tutanakları, 1/7/2026 tarihinden itibaren zorunlu olarak sadece elektronik ortamda gönderilecektir. </w:t>
      </w:r>
    </w:p>
    <w:p w14:paraId="099324D1" w14:textId="77777777" w:rsidR="00B53AC1" w:rsidRDefault="00B53AC1" w:rsidP="00B53AC1">
      <w:pPr>
        <w:jc w:val="both"/>
        <w:rPr>
          <w:rFonts w:ascii="Times New Roman" w:hAnsi="Times New Roman" w:cs="Times New Roman"/>
          <w:sz w:val="24"/>
          <w:szCs w:val="24"/>
        </w:rPr>
      </w:pPr>
      <w:r w:rsidRPr="00B53AC1">
        <w:rPr>
          <w:rFonts w:ascii="Times New Roman" w:hAnsi="Times New Roman" w:cs="Times New Roman"/>
          <w:sz w:val="24"/>
          <w:szCs w:val="24"/>
        </w:rPr>
        <w:t xml:space="preserve">Hüküm bulunmayan haller </w:t>
      </w:r>
    </w:p>
    <w:p w14:paraId="05AE2DB0" w14:textId="77777777" w:rsidR="00B53AC1" w:rsidRDefault="00B53AC1" w:rsidP="00B53AC1">
      <w:pPr>
        <w:jc w:val="both"/>
        <w:rPr>
          <w:rFonts w:ascii="Times New Roman" w:hAnsi="Times New Roman" w:cs="Times New Roman"/>
          <w:sz w:val="24"/>
          <w:szCs w:val="24"/>
        </w:rPr>
      </w:pPr>
      <w:r w:rsidRPr="00B53AC1">
        <w:rPr>
          <w:rFonts w:ascii="Times New Roman" w:hAnsi="Times New Roman" w:cs="Times New Roman"/>
          <w:sz w:val="24"/>
          <w:szCs w:val="24"/>
        </w:rPr>
        <w:t xml:space="preserve">Bu Tebliğde ve 1/6/2019 tarihli ve 30791 sayılı Resmî </w:t>
      </w:r>
      <w:proofErr w:type="spellStart"/>
      <w:r w:rsidRPr="00B53AC1">
        <w:rPr>
          <w:rFonts w:ascii="Times New Roman" w:hAnsi="Times New Roman" w:cs="Times New Roman"/>
          <w:sz w:val="24"/>
          <w:szCs w:val="24"/>
        </w:rPr>
        <w:t>Gazete’de</w:t>
      </w:r>
      <w:proofErr w:type="spellEnd"/>
      <w:r w:rsidRPr="00B53AC1">
        <w:rPr>
          <w:rFonts w:ascii="Times New Roman" w:hAnsi="Times New Roman" w:cs="Times New Roman"/>
          <w:sz w:val="24"/>
          <w:szCs w:val="24"/>
        </w:rPr>
        <w:t xml:space="preserve"> yayımlanan Yeminli Mali Müşavirlik Tasdik Raporlarının Elektronik Ortamda Gönderilmesi Hakkında Genel Tebliğ (Sıra No:1) ile https://dijital.gib.gov.tr/ adresi üzerinden yayımlanan teknik kılavuzlarda konuya ilişkin özel düzenleme bulunmayan hallerde, konunun düzenlendiği Serbest Muhasebeci Mali Müşavirlik ve Yeminli Mali Müşavirlik Kanunu Genel Tebliğlerinde yer alan hükümler geçerlidir. </w:t>
      </w:r>
    </w:p>
    <w:p w14:paraId="65266FA9" w14:textId="77777777" w:rsidR="00B53AC1" w:rsidRDefault="00B53AC1" w:rsidP="00B53AC1">
      <w:pPr>
        <w:jc w:val="both"/>
        <w:rPr>
          <w:rFonts w:ascii="Times New Roman" w:hAnsi="Times New Roman" w:cs="Times New Roman"/>
          <w:sz w:val="24"/>
          <w:szCs w:val="24"/>
        </w:rPr>
      </w:pPr>
      <w:r w:rsidRPr="00B53AC1">
        <w:rPr>
          <w:rFonts w:ascii="Times New Roman" w:hAnsi="Times New Roman" w:cs="Times New Roman"/>
          <w:sz w:val="24"/>
          <w:szCs w:val="24"/>
        </w:rPr>
        <w:t xml:space="preserve">Tebliğ yayımı tarihi itibariyle yürürlüğe girmiştir. </w:t>
      </w:r>
    </w:p>
    <w:p w14:paraId="640236C3" w14:textId="0B301C9E" w:rsidR="00B53AC1" w:rsidRDefault="00B53AC1" w:rsidP="00B53AC1">
      <w:pPr>
        <w:jc w:val="both"/>
        <w:rPr>
          <w:rFonts w:ascii="Times New Roman" w:hAnsi="Times New Roman" w:cs="Times New Roman"/>
          <w:sz w:val="24"/>
          <w:szCs w:val="24"/>
        </w:rPr>
      </w:pPr>
      <w:proofErr w:type="spellStart"/>
      <w:r>
        <w:rPr>
          <w:rFonts w:ascii="Times New Roman" w:hAnsi="Times New Roman" w:cs="Times New Roman"/>
          <w:sz w:val="24"/>
          <w:szCs w:val="24"/>
        </w:rPr>
        <w:t>Kaynak:TURMOB</w:t>
      </w:r>
      <w:proofErr w:type="spellEnd"/>
    </w:p>
    <w:p w14:paraId="0D53F35B" w14:textId="1251DBD4" w:rsidR="00B53AC1" w:rsidRDefault="00B53AC1" w:rsidP="00B53AC1">
      <w:pPr>
        <w:jc w:val="both"/>
        <w:rPr>
          <w:rFonts w:ascii="Times New Roman" w:hAnsi="Times New Roman" w:cs="Times New Roman"/>
          <w:sz w:val="24"/>
          <w:szCs w:val="24"/>
        </w:rPr>
      </w:pPr>
      <w:r>
        <w:rPr>
          <w:rFonts w:ascii="Times New Roman" w:hAnsi="Times New Roman" w:cs="Times New Roman"/>
          <w:sz w:val="24"/>
          <w:szCs w:val="24"/>
        </w:rPr>
        <w:t>Saygılarımızla,</w:t>
      </w:r>
    </w:p>
    <w:p w14:paraId="4C1C26A6" w14:textId="1CAD17FA" w:rsidR="00B53AC1" w:rsidRDefault="00B53AC1" w:rsidP="00B53AC1">
      <w:pPr>
        <w:jc w:val="both"/>
        <w:rPr>
          <w:rFonts w:ascii="Times New Roman" w:hAnsi="Times New Roman" w:cs="Times New Roman"/>
          <w:sz w:val="24"/>
          <w:szCs w:val="24"/>
        </w:rPr>
      </w:pPr>
      <w:r>
        <w:rPr>
          <w:rFonts w:ascii="Times New Roman" w:hAnsi="Times New Roman" w:cs="Times New Roman"/>
          <w:sz w:val="24"/>
          <w:szCs w:val="24"/>
        </w:rPr>
        <w:t xml:space="preserve">Destek YMM </w:t>
      </w:r>
      <w:proofErr w:type="spellStart"/>
      <w:r>
        <w:rPr>
          <w:rFonts w:ascii="Times New Roman" w:hAnsi="Times New Roman" w:cs="Times New Roman"/>
          <w:sz w:val="24"/>
          <w:szCs w:val="24"/>
        </w:rPr>
        <w:t>Ltd.Şti</w:t>
      </w:r>
      <w:proofErr w:type="spellEnd"/>
      <w:r>
        <w:rPr>
          <w:rFonts w:ascii="Times New Roman" w:hAnsi="Times New Roman" w:cs="Times New Roman"/>
          <w:sz w:val="24"/>
          <w:szCs w:val="24"/>
        </w:rPr>
        <w:t>.</w:t>
      </w:r>
    </w:p>
    <w:p w14:paraId="41F86A7B" w14:textId="77777777" w:rsidR="00B53AC1" w:rsidRDefault="00B53AC1" w:rsidP="00B53AC1">
      <w:pPr>
        <w:jc w:val="both"/>
        <w:rPr>
          <w:rFonts w:ascii="Times New Roman" w:hAnsi="Times New Roman" w:cs="Times New Roman"/>
          <w:sz w:val="24"/>
          <w:szCs w:val="24"/>
        </w:rPr>
      </w:pPr>
    </w:p>
    <w:sectPr w:rsidR="00B53A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588"/>
    <w:rsid w:val="001A4CC4"/>
    <w:rsid w:val="005753E5"/>
    <w:rsid w:val="0058623F"/>
    <w:rsid w:val="00731E64"/>
    <w:rsid w:val="00812588"/>
    <w:rsid w:val="00A571E3"/>
    <w:rsid w:val="00B53AC1"/>
    <w:rsid w:val="00B61F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55DB4"/>
  <w15:chartTrackingRefBased/>
  <w15:docId w15:val="{67952EFE-04B8-4D61-8696-A612510BB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81258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81258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812588"/>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812588"/>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812588"/>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81258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81258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81258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81258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12588"/>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812588"/>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812588"/>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812588"/>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812588"/>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81258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81258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81258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812588"/>
    <w:rPr>
      <w:rFonts w:eastAsiaTheme="majorEastAsia" w:cstheme="majorBidi"/>
      <w:color w:val="272727" w:themeColor="text1" w:themeTint="D8"/>
    </w:rPr>
  </w:style>
  <w:style w:type="paragraph" w:styleId="KonuBal">
    <w:name w:val="Title"/>
    <w:basedOn w:val="Normal"/>
    <w:next w:val="Normal"/>
    <w:link w:val="KonuBalChar"/>
    <w:uiPriority w:val="10"/>
    <w:qFormat/>
    <w:rsid w:val="008125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81258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81258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81258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81258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812588"/>
    <w:rPr>
      <w:i/>
      <w:iCs/>
      <w:color w:val="404040" w:themeColor="text1" w:themeTint="BF"/>
    </w:rPr>
  </w:style>
  <w:style w:type="paragraph" w:styleId="ListeParagraf">
    <w:name w:val="List Paragraph"/>
    <w:basedOn w:val="Normal"/>
    <w:uiPriority w:val="34"/>
    <w:qFormat/>
    <w:rsid w:val="00812588"/>
    <w:pPr>
      <w:ind w:left="720"/>
      <w:contextualSpacing/>
    </w:pPr>
  </w:style>
  <w:style w:type="character" w:styleId="GlVurgulama">
    <w:name w:val="Intense Emphasis"/>
    <w:basedOn w:val="VarsaylanParagrafYazTipi"/>
    <w:uiPriority w:val="21"/>
    <w:qFormat/>
    <w:rsid w:val="00812588"/>
    <w:rPr>
      <w:i/>
      <w:iCs/>
      <w:color w:val="2F5496" w:themeColor="accent1" w:themeShade="BF"/>
    </w:rPr>
  </w:style>
  <w:style w:type="paragraph" w:styleId="GlAlnt">
    <w:name w:val="Intense Quote"/>
    <w:basedOn w:val="Normal"/>
    <w:next w:val="Normal"/>
    <w:link w:val="GlAlntChar"/>
    <w:uiPriority w:val="30"/>
    <w:qFormat/>
    <w:rsid w:val="0081258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812588"/>
    <w:rPr>
      <w:i/>
      <w:iCs/>
      <w:color w:val="2F5496" w:themeColor="accent1" w:themeShade="BF"/>
    </w:rPr>
  </w:style>
  <w:style w:type="character" w:styleId="GlBavuru">
    <w:name w:val="Intense Reference"/>
    <w:basedOn w:val="VarsaylanParagrafYazTipi"/>
    <w:uiPriority w:val="32"/>
    <w:qFormat/>
    <w:rsid w:val="0081258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1592</Words>
  <Characters>9076</Characters>
  <Application>Microsoft Office Word</Application>
  <DocSecurity>0</DocSecurity>
  <Lines>75</Lines>
  <Paragraphs>21</Paragraphs>
  <ScaleCrop>false</ScaleCrop>
  <Company/>
  <LinksUpToDate>false</LinksUpToDate>
  <CharactersWithSpaces>10647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Sinan Dölcü</dc:creator>
  <cp:keywords/>
  <dc:description/>
  <cp:lastModifiedBy>Sinan Dölcü</cp:lastModifiedBy>
  <cp:revision>3</cp:revision>
  <dcterms:created xsi:type="dcterms:W3CDTF">2025-11-26T06:03:00Z</dcterms:created>
  <dcterms:modified xsi:type="dcterms:W3CDTF">2025-12-25T12:05:00Z</dcterms:modified>
</cp:coreProperties>
</file>