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2D258" w14:textId="77777777" w:rsidR="00D71BE6" w:rsidRPr="00D71BE6" w:rsidRDefault="00D71BE6" w:rsidP="00D71BE6">
      <w:pPr>
        <w:spacing w:before="100" w:beforeAutospacing="1" w:after="100" w:afterAutospacing="1" w:line="252" w:lineRule="auto"/>
        <w:jc w:val="center"/>
        <w:rPr>
          <w:rFonts w:ascii="Tahoma" w:eastAsia="Times New Roman" w:hAnsi="Tahoma" w:cs="Times New Roman"/>
          <w:b/>
          <w:color w:val="008000"/>
        </w:rPr>
      </w:pPr>
      <w:r w:rsidRPr="00D71BE6">
        <w:rPr>
          <w:rFonts w:ascii="Tahoma" w:eastAsia="Times New Roman" w:hAnsi="Tahoma" w:cs="Times New Roman"/>
          <w:b/>
          <w:color w:val="008000"/>
        </w:rPr>
        <w:t>DESTEK YEMİNLİ MALİ MÜŞAVİRLİK</w:t>
      </w:r>
    </w:p>
    <w:p w14:paraId="720C5AEC" w14:textId="77777777" w:rsidR="00D71BE6" w:rsidRPr="00D71BE6" w:rsidRDefault="00D71BE6" w:rsidP="00D71BE6">
      <w:pPr>
        <w:spacing w:before="100" w:beforeAutospacing="1" w:after="100" w:afterAutospacing="1" w:line="252" w:lineRule="auto"/>
        <w:jc w:val="center"/>
        <w:rPr>
          <w:rFonts w:ascii="Tahoma" w:eastAsia="Times New Roman" w:hAnsi="Tahoma" w:cs="Times New Roman"/>
          <w:b/>
          <w:color w:val="008000"/>
        </w:rPr>
      </w:pPr>
      <w:r w:rsidRPr="00D71BE6">
        <w:rPr>
          <w:rFonts w:ascii="Tahoma" w:eastAsia="Times New Roman" w:hAnsi="Tahoma" w:cs="Times New Roman"/>
          <w:b/>
          <w:color w:val="008000"/>
        </w:rPr>
        <w:t>LİMİTED ŞİRKETİ</w:t>
      </w:r>
    </w:p>
    <w:p w14:paraId="5F091195" w14:textId="77777777" w:rsidR="00D71BE6" w:rsidRPr="00D71BE6" w:rsidRDefault="00D71BE6" w:rsidP="00D71BE6">
      <w:pPr>
        <w:spacing w:line="252" w:lineRule="auto"/>
        <w:jc w:val="center"/>
        <w:rPr>
          <w:b/>
          <w:color w:val="008000"/>
        </w:rPr>
      </w:pPr>
      <w:r w:rsidRPr="00D71BE6">
        <w:rPr>
          <w:b/>
          <w:color w:val="008000"/>
        </w:rPr>
        <w:t xml:space="preserve">SAHRAYICEDİT MAH. ATATÜRK CAD. MESA KOZ PLAZA NO:69 K:11 D:146 KADIKÖY/İST. </w:t>
      </w:r>
    </w:p>
    <w:p w14:paraId="79F47916" w14:textId="77777777" w:rsidR="00D71BE6" w:rsidRPr="00D71BE6" w:rsidRDefault="00D71BE6" w:rsidP="00D71BE6">
      <w:pPr>
        <w:spacing w:line="252" w:lineRule="auto"/>
        <w:jc w:val="center"/>
        <w:rPr>
          <w:b/>
          <w:color w:val="008000"/>
        </w:rPr>
      </w:pPr>
      <w:r w:rsidRPr="00D71BE6">
        <w:rPr>
          <w:b/>
          <w:color w:val="008000"/>
        </w:rPr>
        <w:t>TEL:0 216 759 33 58 pbx</w:t>
      </w:r>
    </w:p>
    <w:p w14:paraId="32D639C7" w14:textId="77777777" w:rsidR="00D71BE6" w:rsidRPr="00D71BE6" w:rsidRDefault="00D71BE6" w:rsidP="00D71BE6">
      <w:pPr>
        <w:spacing w:line="252" w:lineRule="auto"/>
        <w:jc w:val="center"/>
        <w:rPr>
          <w:b/>
          <w:color w:val="008000"/>
        </w:rPr>
      </w:pPr>
      <w:r w:rsidRPr="00D71BE6">
        <w:rPr>
          <w:b/>
          <w:color w:val="008000"/>
        </w:rPr>
        <w:t>FAX:0 216 759 49 39</w:t>
      </w:r>
    </w:p>
    <w:tbl>
      <w:tblPr>
        <w:tblW w:w="9681" w:type="dxa"/>
        <w:tblInd w:w="-108" w:type="dxa"/>
        <w:tblCellMar>
          <w:left w:w="70" w:type="dxa"/>
          <w:right w:w="70" w:type="dxa"/>
        </w:tblCellMar>
        <w:tblLook w:val="04A0" w:firstRow="1" w:lastRow="0" w:firstColumn="1" w:lastColumn="0" w:noHBand="0" w:noVBand="1"/>
      </w:tblPr>
      <w:tblGrid>
        <w:gridCol w:w="2689"/>
        <w:gridCol w:w="384"/>
        <w:gridCol w:w="6608"/>
      </w:tblGrid>
      <w:tr w:rsidR="00D71BE6" w:rsidRPr="00D71BE6" w14:paraId="6742B3F4" w14:textId="77777777" w:rsidTr="00BF5E8B">
        <w:trPr>
          <w:cantSplit/>
          <w:trHeight w:val="247"/>
        </w:trPr>
        <w:tc>
          <w:tcPr>
            <w:tcW w:w="9681" w:type="dxa"/>
            <w:gridSpan w:val="3"/>
            <w:hideMark/>
          </w:tcPr>
          <w:p w14:paraId="5F7359A3" w14:textId="77777777" w:rsidR="00D71BE6" w:rsidRPr="00D71BE6" w:rsidRDefault="00D71BE6" w:rsidP="00D71BE6">
            <w:pPr>
              <w:spacing w:line="252" w:lineRule="auto"/>
              <w:jc w:val="center"/>
              <w:rPr>
                <w:rFonts w:ascii="Times New Roman" w:eastAsia="Times New Roman" w:hAnsi="Times New Roman" w:cs="Times New Roman"/>
              </w:rPr>
            </w:pPr>
            <w:r w:rsidRPr="00D71BE6">
              <w:rPr>
                <w:b/>
                <w:u w:val="single"/>
              </w:rPr>
              <w:t>S   İ   R   K   Ü   L   E   R           R   A   P   O   R          .</w:t>
            </w:r>
          </w:p>
        </w:tc>
      </w:tr>
      <w:tr w:rsidR="00D71BE6" w:rsidRPr="00D71BE6" w14:paraId="34875CFD" w14:textId="77777777" w:rsidTr="00BF5E8B">
        <w:trPr>
          <w:cantSplit/>
          <w:trHeight w:val="225"/>
        </w:trPr>
        <w:tc>
          <w:tcPr>
            <w:tcW w:w="9681" w:type="dxa"/>
            <w:gridSpan w:val="3"/>
            <w:hideMark/>
          </w:tcPr>
          <w:p w14:paraId="04FE8D82" w14:textId="77777777" w:rsidR="00D71BE6" w:rsidRPr="00D71BE6" w:rsidRDefault="00D71BE6" w:rsidP="00D71BE6">
            <w:pPr>
              <w:spacing w:line="252" w:lineRule="auto"/>
              <w:rPr>
                <w:rFonts w:ascii="Times New Roman" w:eastAsia="Times New Roman" w:hAnsi="Times New Roman" w:cs="Times New Roman"/>
              </w:rPr>
            </w:pPr>
            <w:r w:rsidRPr="00D71BE6">
              <w:rPr>
                <w:b/>
              </w:rPr>
              <w:t>Destek YMM  LTD. ŞTİ’nin müşterilerine özel bir hizmetidir. İzinsiz çoğaltılamaz, iktibas edilemez.</w:t>
            </w:r>
          </w:p>
        </w:tc>
      </w:tr>
      <w:tr w:rsidR="00D71BE6" w:rsidRPr="00D71BE6" w14:paraId="7A4116E2" w14:textId="77777777" w:rsidTr="00BF5E8B">
        <w:trPr>
          <w:trHeight w:val="225"/>
        </w:trPr>
        <w:tc>
          <w:tcPr>
            <w:tcW w:w="2689" w:type="dxa"/>
            <w:hideMark/>
          </w:tcPr>
          <w:p w14:paraId="4807288E" w14:textId="77777777" w:rsidR="00D71BE6" w:rsidRPr="00D71BE6" w:rsidRDefault="00D71BE6" w:rsidP="00D71BE6">
            <w:pPr>
              <w:spacing w:line="252" w:lineRule="auto"/>
              <w:rPr>
                <w:rFonts w:ascii="Times New Roman" w:eastAsia="Times New Roman" w:hAnsi="Times New Roman" w:cs="Times New Roman"/>
                <w:b/>
              </w:rPr>
            </w:pPr>
            <w:r w:rsidRPr="00D71BE6">
              <w:rPr>
                <w:rFonts w:ascii="Times New Roman" w:hAnsi="Times New Roman" w:cs="Times New Roman"/>
                <w:b/>
              </w:rPr>
              <w:t>SİRKÜLER TARİHİ</w:t>
            </w:r>
          </w:p>
        </w:tc>
        <w:tc>
          <w:tcPr>
            <w:tcW w:w="384" w:type="dxa"/>
            <w:hideMark/>
          </w:tcPr>
          <w:p w14:paraId="55ABB6D6" w14:textId="77777777" w:rsidR="00D71BE6" w:rsidRPr="00D71BE6" w:rsidRDefault="00D71BE6" w:rsidP="00D71BE6">
            <w:pPr>
              <w:spacing w:line="252" w:lineRule="auto"/>
              <w:rPr>
                <w:rFonts w:ascii="Times New Roman" w:eastAsia="Times New Roman" w:hAnsi="Times New Roman" w:cs="Times New Roman"/>
                <w:b/>
              </w:rPr>
            </w:pPr>
            <w:r w:rsidRPr="00D71BE6">
              <w:rPr>
                <w:b/>
              </w:rPr>
              <w:t>:</w:t>
            </w:r>
          </w:p>
        </w:tc>
        <w:tc>
          <w:tcPr>
            <w:tcW w:w="6608" w:type="dxa"/>
            <w:hideMark/>
          </w:tcPr>
          <w:p w14:paraId="3792151F" w14:textId="1B6BEC66" w:rsidR="00D71BE6" w:rsidRPr="00D71BE6" w:rsidRDefault="00A820D6" w:rsidP="00D71BE6">
            <w:pPr>
              <w:spacing w:line="252" w:lineRule="auto"/>
              <w:rPr>
                <w:rFonts w:ascii="Times New Roman" w:eastAsia="Times New Roman" w:hAnsi="Times New Roman" w:cs="Times New Roman"/>
                <w:b/>
              </w:rPr>
            </w:pPr>
            <w:r>
              <w:rPr>
                <w:rFonts w:ascii="Times New Roman" w:hAnsi="Times New Roman" w:cs="Times New Roman"/>
                <w:b/>
              </w:rPr>
              <w:t>15</w:t>
            </w:r>
            <w:r w:rsidR="00D71BE6" w:rsidRPr="00D71BE6">
              <w:rPr>
                <w:rFonts w:ascii="Times New Roman" w:hAnsi="Times New Roman" w:cs="Times New Roman"/>
                <w:b/>
              </w:rPr>
              <w:t>/12/2025</w:t>
            </w:r>
          </w:p>
        </w:tc>
      </w:tr>
      <w:tr w:rsidR="00D71BE6" w:rsidRPr="00D71BE6" w14:paraId="62A8E96D" w14:textId="77777777" w:rsidTr="00BF5E8B">
        <w:trPr>
          <w:trHeight w:val="225"/>
        </w:trPr>
        <w:tc>
          <w:tcPr>
            <w:tcW w:w="2689" w:type="dxa"/>
            <w:hideMark/>
          </w:tcPr>
          <w:p w14:paraId="2E17C707" w14:textId="77777777" w:rsidR="00D71BE6" w:rsidRPr="00D71BE6" w:rsidRDefault="00D71BE6" w:rsidP="00D71BE6">
            <w:pPr>
              <w:spacing w:line="252" w:lineRule="auto"/>
              <w:rPr>
                <w:rFonts w:ascii="Times New Roman" w:eastAsia="Times New Roman" w:hAnsi="Times New Roman" w:cs="Times New Roman"/>
                <w:b/>
              </w:rPr>
            </w:pPr>
            <w:r w:rsidRPr="00D71BE6">
              <w:rPr>
                <w:rFonts w:ascii="Times New Roman" w:hAnsi="Times New Roman" w:cs="Times New Roman"/>
                <w:b/>
              </w:rPr>
              <w:t>SİRKÜLER SAYI</w:t>
            </w:r>
          </w:p>
        </w:tc>
        <w:tc>
          <w:tcPr>
            <w:tcW w:w="384" w:type="dxa"/>
            <w:hideMark/>
          </w:tcPr>
          <w:p w14:paraId="613B12CF" w14:textId="77777777" w:rsidR="00D71BE6" w:rsidRPr="00D71BE6" w:rsidRDefault="00D71BE6" w:rsidP="00D71BE6">
            <w:pPr>
              <w:spacing w:line="252" w:lineRule="auto"/>
              <w:rPr>
                <w:rFonts w:ascii="Times New Roman" w:eastAsia="Times New Roman" w:hAnsi="Times New Roman" w:cs="Times New Roman"/>
                <w:b/>
              </w:rPr>
            </w:pPr>
            <w:r w:rsidRPr="00D71BE6">
              <w:rPr>
                <w:b/>
              </w:rPr>
              <w:t>:</w:t>
            </w:r>
          </w:p>
        </w:tc>
        <w:tc>
          <w:tcPr>
            <w:tcW w:w="6608" w:type="dxa"/>
            <w:hideMark/>
          </w:tcPr>
          <w:p w14:paraId="324D830A" w14:textId="6480ED04" w:rsidR="00D71BE6" w:rsidRPr="00D71BE6" w:rsidRDefault="00D71BE6" w:rsidP="00D71BE6">
            <w:pPr>
              <w:spacing w:line="252" w:lineRule="auto"/>
              <w:rPr>
                <w:rFonts w:ascii="Times New Roman" w:eastAsia="Times New Roman" w:hAnsi="Times New Roman" w:cs="Times New Roman"/>
                <w:b/>
              </w:rPr>
            </w:pPr>
            <w:r w:rsidRPr="00D71BE6">
              <w:rPr>
                <w:rFonts w:ascii="Times New Roman" w:hAnsi="Times New Roman" w:cs="Times New Roman"/>
                <w:b/>
              </w:rPr>
              <w:t>2025/16</w:t>
            </w:r>
            <w:r w:rsidR="00A820D6">
              <w:rPr>
                <w:rFonts w:ascii="Times New Roman" w:hAnsi="Times New Roman" w:cs="Times New Roman"/>
                <w:b/>
              </w:rPr>
              <w:t>6</w:t>
            </w:r>
          </w:p>
        </w:tc>
      </w:tr>
      <w:tr w:rsidR="00D71BE6" w:rsidRPr="00D71BE6" w14:paraId="5A0CDFD1" w14:textId="77777777" w:rsidTr="00BF5E8B">
        <w:trPr>
          <w:trHeight w:val="642"/>
        </w:trPr>
        <w:tc>
          <w:tcPr>
            <w:tcW w:w="2689" w:type="dxa"/>
            <w:hideMark/>
          </w:tcPr>
          <w:p w14:paraId="050FEFCA" w14:textId="77777777" w:rsidR="00D71BE6" w:rsidRPr="00D71BE6" w:rsidRDefault="00D71BE6" w:rsidP="00D71BE6">
            <w:pPr>
              <w:spacing w:line="252" w:lineRule="auto"/>
              <w:rPr>
                <w:rFonts w:ascii="Times New Roman" w:eastAsia="Times New Roman" w:hAnsi="Times New Roman" w:cs="Times New Roman"/>
                <w:b/>
                <w:sz w:val="24"/>
                <w:szCs w:val="24"/>
              </w:rPr>
            </w:pPr>
            <w:r w:rsidRPr="00D71BE6">
              <w:rPr>
                <w:rFonts w:ascii="Times New Roman" w:hAnsi="Times New Roman" w:cs="Times New Roman"/>
                <w:b/>
                <w:sz w:val="24"/>
                <w:szCs w:val="24"/>
              </w:rPr>
              <w:t>KONU</w:t>
            </w:r>
          </w:p>
        </w:tc>
        <w:tc>
          <w:tcPr>
            <w:tcW w:w="384" w:type="dxa"/>
            <w:hideMark/>
          </w:tcPr>
          <w:p w14:paraId="4F6ECF28" w14:textId="77777777" w:rsidR="00D71BE6" w:rsidRPr="00D71BE6" w:rsidRDefault="00D71BE6" w:rsidP="00D71BE6">
            <w:pPr>
              <w:spacing w:line="252" w:lineRule="auto"/>
              <w:rPr>
                <w:rFonts w:ascii="Times New Roman" w:eastAsia="Times New Roman" w:hAnsi="Times New Roman" w:cs="Times New Roman"/>
                <w:b/>
                <w:sz w:val="24"/>
                <w:szCs w:val="24"/>
              </w:rPr>
            </w:pPr>
            <w:r w:rsidRPr="00D71BE6">
              <w:rPr>
                <w:rFonts w:ascii="Times New Roman" w:hAnsi="Times New Roman" w:cs="Times New Roman"/>
                <w:b/>
                <w:sz w:val="24"/>
                <w:szCs w:val="24"/>
              </w:rPr>
              <w:t>:</w:t>
            </w:r>
          </w:p>
        </w:tc>
        <w:tc>
          <w:tcPr>
            <w:tcW w:w="6608" w:type="dxa"/>
            <w:vAlign w:val="center"/>
            <w:hideMark/>
          </w:tcPr>
          <w:p w14:paraId="23EED81C" w14:textId="77777777" w:rsidR="00D71BE6" w:rsidRPr="0069503C" w:rsidRDefault="00D71BE6" w:rsidP="00D71BE6">
            <w:pPr>
              <w:jc w:val="both"/>
              <w:rPr>
                <w:rFonts w:ascii="Times New Roman" w:hAnsi="Times New Roman" w:cs="Times New Roman"/>
                <w:b/>
                <w:bCs/>
                <w:sz w:val="24"/>
                <w:szCs w:val="24"/>
              </w:rPr>
            </w:pPr>
            <w:r w:rsidRPr="0069503C">
              <w:rPr>
                <w:rFonts w:ascii="Times New Roman" w:hAnsi="Times New Roman" w:cs="Times New Roman"/>
                <w:b/>
                <w:bCs/>
                <w:sz w:val="24"/>
                <w:szCs w:val="24"/>
              </w:rPr>
              <w:t xml:space="preserve">Kur Farkı Zararlarının Sermaye Kaybı Veya Borca Batık Olma Hesaplamalarında Dikkate Alınmamasına İlişkin Süre Uzatıldı </w:t>
            </w:r>
          </w:p>
          <w:p w14:paraId="59923BCC" w14:textId="77777777" w:rsidR="00D71BE6" w:rsidRPr="00D71BE6" w:rsidRDefault="00D71BE6" w:rsidP="00D71BE6">
            <w:pPr>
              <w:spacing w:line="256" w:lineRule="auto"/>
              <w:jc w:val="both"/>
              <w:rPr>
                <w:rFonts w:ascii="Times New Roman" w:hAnsi="Times New Roman" w:cs="Times New Roman"/>
                <w:b/>
                <w:bCs/>
                <w:sz w:val="24"/>
                <w:szCs w:val="24"/>
              </w:rPr>
            </w:pPr>
          </w:p>
        </w:tc>
      </w:tr>
    </w:tbl>
    <w:p w14:paraId="2D7B2EE5" w14:textId="77777777" w:rsidR="00D71BE6" w:rsidRDefault="00D71BE6" w:rsidP="00174C42">
      <w:pPr>
        <w:jc w:val="both"/>
        <w:rPr>
          <w:rFonts w:ascii="Times New Roman" w:hAnsi="Times New Roman" w:cs="Times New Roman"/>
          <w:b/>
          <w:bCs/>
          <w:sz w:val="24"/>
          <w:szCs w:val="24"/>
        </w:rPr>
      </w:pPr>
    </w:p>
    <w:p w14:paraId="632F485C" w14:textId="77777777" w:rsidR="00174C42" w:rsidRPr="0069503C" w:rsidRDefault="00174C42" w:rsidP="00174C4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9503C">
        <w:rPr>
          <w:rFonts w:ascii="Times New Roman" w:hAnsi="Times New Roman" w:cs="Times New Roman"/>
          <w:sz w:val="24"/>
          <w:szCs w:val="24"/>
        </w:rPr>
        <w:t>ÖZET</w:t>
      </w:r>
      <w:r w:rsidRPr="0069503C">
        <w:rPr>
          <w:rFonts w:ascii="Times New Roman" w:hAnsi="Times New Roman" w:cs="Times New Roman"/>
          <w:sz w:val="24"/>
          <w:szCs w:val="24"/>
        </w:rPr>
        <w:t>:</w:t>
      </w:r>
    </w:p>
    <w:p w14:paraId="1E134429" w14:textId="77777777" w:rsidR="00174C42" w:rsidRPr="0069503C" w:rsidRDefault="00174C42" w:rsidP="00174C4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9503C">
        <w:rPr>
          <w:rFonts w:ascii="Times New Roman" w:hAnsi="Times New Roman" w:cs="Times New Roman"/>
          <w:sz w:val="24"/>
          <w:szCs w:val="24"/>
        </w:rPr>
        <w:t xml:space="preserve">6102 sayılı Türk Ticaret Kanununun 376 ncı Maddesinin Uygulanmasına İlişkin Usul Ve Esaslar Hakkında Tebliğin kur farklarından doğan zararlara ilişkin geçici 1’inci maddesinde değişiklik yapılarak 1/1/2026 tarihi 1/1/2027 olarak değiştirildi. </w:t>
      </w:r>
    </w:p>
    <w:p w14:paraId="52CD425A" w14:textId="77777777" w:rsidR="00174C42" w:rsidRPr="0069503C" w:rsidRDefault="00174C42" w:rsidP="00174C4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69503C">
        <w:rPr>
          <w:rFonts w:ascii="Times New Roman" w:hAnsi="Times New Roman" w:cs="Times New Roman"/>
          <w:sz w:val="24"/>
          <w:szCs w:val="24"/>
        </w:rPr>
        <w:t xml:space="preserve">Buna göre 1 Ocak 2027 tarihine kadar, Kanunun 376 ncı maddesi kapsamında sermaye kaybı veya borca batık olma durumuna ilişkin yapılan hesaplamalarda, henüz ifa edilmemiş yabancı para cinsi yükümlülüklerden doğan kur farkı zararlarının tamamı ile 2020 ve 2021 yıllarında tahakkuk eden kiralamalardan kaynaklanan giderler, amortismanlar ve personel giderlerinin toplamının yarısı dikkate alınmayabilecek olup; bu tutarların belirlenmesinde mükerrerlik oluşmayacak şekilde hesaplama yapılacak ve hesaplamalara ilişkin olarak 13 üncü madde uyarınca hazırlanan finansal tablolarda herhangi bir kayda yer verilmeyerek, bu durum bilgi mahiyetinde dipnotlarda gösterilecektir. </w:t>
      </w:r>
    </w:p>
    <w:p w14:paraId="7EB77C40"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6102 sayılı Türk Ticaret Kanunu’nun Sermayenin kaybı, borca batık olma durumu başlığını taşıyan bölümünde yer alan aşağıdaki düzenleme yer almaktadır. </w:t>
      </w:r>
    </w:p>
    <w:p w14:paraId="45A9E744"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“MADDE 376- (1) Son yıllık bilançodan, sermaye ile kanuni yedek akçeler toplamının yarısının zarar sebebiyle karşılıksız kaldığı anlaşılırsa, yönetim kurulu, genel kurulu hemen toplantıya çağırır ve bu genel kurula uygun gördüğü iyileştirici önlemleri sunar. </w:t>
      </w:r>
    </w:p>
    <w:p w14:paraId="59DC3C6F"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(2) Son yıllık bilançoya göre, sermaye ile kanuni yedek akçeler toplamının üçte ikisinin zarar sebebiyle karşılıksız kaldığı anlaşıldığı takdirde, derhâl toplantıya çağrılan genel kurul, sermayenin üçte biri ile yetinme veya sermayenin tamamlanmasına karar vermediği takdirde şirket kendiliğinden sona erer. </w:t>
      </w:r>
    </w:p>
    <w:p w14:paraId="3FD2A025" w14:textId="0E5685E2"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(3) Şirketin borca batık durumda bulunduğu şüphesini uyandıran işaretler varsa, yönetim kurulu, aktiflerin hem işletmenin devamlılığı esasına göre hem de muhtemel satış fiyatları </w:t>
      </w:r>
      <w:r w:rsidRPr="0069503C">
        <w:rPr>
          <w:rFonts w:ascii="Times New Roman" w:hAnsi="Times New Roman" w:cs="Times New Roman"/>
          <w:sz w:val="24"/>
          <w:szCs w:val="24"/>
        </w:rPr>
        <w:lastRenderedPageBreak/>
        <w:t xml:space="preserve">üzerinden bir ara bilanço çıkartır. Bu bilançodan aktiflerin, şirket alacaklılarının alacaklarını karşılamaya yetmediğinin anlaşılması hâlinde, yönetim kurulu, bu durumu şirket merkezinin bulunduğu yer asliye ticaret mahkemesine bildirir ve şirketin iflasını ister. Meğerki, iflas kararının verilmesinden önce, şirketin açığını karşılayacak ve borca batık durumunu ortadan kaldıracak tutardaki şirket borçlarının alacaklıları, alacaklarının sırasının diğer tüm alacaklıların sırasından sonraki sıraya konulmasını yazılı olarak kabul etmiş ve bu beyanın veya sözleşmenin yerindeliği, gerçekliği ve geçerliliği, yönetim kurulu tarafından iflas isteminin bildirileceği mahkemece atanan bilirkişilerce doğrulanmış olsun. Aksi hâlde mahkemeye bilirkişi incelemesi için yapılmış başvuru, iflas bildirimi olarak kabul olunur.” </w:t>
      </w:r>
    </w:p>
    <w:p w14:paraId="4314A988"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Söz konusu madde uygulamasına ilişkin olarak Ticaret Bakanlığınca çıkarılan ve 15.09.2018 tarihli ve 30536 sayılı Resmî Gazete’de yayımlanan 6102 SAYILI TÜRK TİCARET KANUNUNUN 376 NCI MADDESİNİN UYGULANMASINA İLİŞKİN USUL VE ESASLAR HAKKINDA TEBLİĞ’de 6102 sayılı Türk Ticaret Kanunu’nun 376’ncı maddesi kapsamında sermayenin kaybı veya borca batık olma durumlarında uyulacak usul ve esaslar hakkında açıklamalarda bulunulmuştu. </w:t>
      </w:r>
    </w:p>
    <w:p w14:paraId="669DD16E"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Daha sonra bu Tebliğde ilerleyen tarihlerde aşağıdaki değişiklikler yapıldı. </w:t>
      </w:r>
    </w:p>
    <w:p w14:paraId="559E8D83"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1. 26.12.2020 tarih ve 31346 sayılı Resmî Gazete’de 6102 sayılı Türk Ticaret Kanunu’nun 376’ncı Maddesinin Uygulanmasına İlişkin Usul ve Esaslar Hakkında Tebliğde Değişiklik Yapılmasına Dair Tebliğ yayımlanmış, Tebliğin Geçici 1’nci maddesi değiştirildi. </w:t>
      </w:r>
    </w:p>
    <w:p w14:paraId="43D88517"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2. 8 Kasım 2022 tarihli ve 32007 sayılı Resmi Gazetede yayımlanan 6102 SAYILI TÜRK TİCARET KANUNUNUN 376 NCI MADDESİNİN UYGULANMASINA İLİŞKİN USUL VE ESASLAR HAKKINDA TEBLİĞDE DEĞİŞİKLİK YAPILMASINA DAİR TEBLİĞ ile Geçici 1’nci maddede yer alan “1 Ocak 2023” tarihi ibaresi “1 Ocak 2024” olarak değiştirildi. </w:t>
      </w:r>
    </w:p>
    <w:p w14:paraId="32FE156B"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3. 31 Ekim 2023 tarihli ve 32355 sayılı Resmi Gazetede yayımlanan 6102 SAYILI TÜRK TİCARET KANUNUNUN 376 NCI MADDESİNİN UYGULANMASINA İLİŞKİN USUL VE ESASLAR HAKKINDA TEBLİĞDE DEĞİŞİKLİK YAPILMASINA DAİR TEBLİĞ ile Geçici 1’nci maddede yer alan “1 Ocak 2024” tarihi ibaresi “1 Ocak 2025” olarak değiştirildi. </w:t>
      </w:r>
    </w:p>
    <w:p w14:paraId="06A220C5"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4. 25 Aralık 2024 tarihli ve 32763 sayılı Resmi Gazetede yayımlanan 6102 SAYILI TÜRK TİCARET KANUNUNUN 376 NCI MADDESİNİN UYGULANMASINA İLİŞKİN USUL VE ESASLAR HAKKINDA TEBLİĞDE DEĞİŞİKLİK YAPILMASINA DAİR TEBLİĞ ile Geçici 1’nci maddede yer alan “1 Ocak 2025” tarihi ibaresi “1 Ocak 2026” olarak değiştirildi. </w:t>
      </w:r>
    </w:p>
    <w:p w14:paraId="1D311FFF"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10 Aralık 2025 tarihli ve 33103 sayılı Resmi Gazetede yayımlanan 6102 SAYILI TÜRK TİCARET KANUNUNUN 376 NCI MADDESİNİN UYGULANMASINA İLİŞKİN USUL VE ESASLAR HAKKINDA TEBLİĞDE DEĞİŞİKLİK YAPILMASINA DAİR TEBLİĞ ile Geçici 1’nci maddede yer alan “1 Ocak 2026” tarihi ibaresi “1 Ocak 2027” olarak değiştirildi. </w:t>
      </w:r>
    </w:p>
    <w:p w14:paraId="5D756F8C"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Bu değişiklik sonrası Tebliğin Geçici 1’nci maddesi aşağıdaki gibi olmuştur. </w:t>
      </w:r>
    </w:p>
    <w:p w14:paraId="64DC6F73" w14:textId="77777777" w:rsidR="00174C42"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 xml:space="preserve">GEÇİCİ MADDE 1 – (1) 1/1/2027 tarihine kadar, Kanunun 376 ncı maddesi kapsamında sermaye kaybı veya borca batık olma durumuna ilişkin yapılan hesaplamalarda, henüz ifa edilmemiş yabancı para cinsi yükümlülüklerden doğan kur farkı zararlarının tamamı ile 2020 ve 2021 yıllarında tahakkuk eden kiralamalardan kaynaklanan giderler, amortismanlar ve personel giderlerinin toplamının yarısı dikkate alınmayabilir. Bu tutarların belirlenmesinde mükerrerlik oluşmayacak şekilde hesaplama yapılır. Bu fıkra kapsamında yapılacak </w:t>
      </w:r>
      <w:r w:rsidRPr="0069503C">
        <w:rPr>
          <w:rFonts w:ascii="Times New Roman" w:hAnsi="Times New Roman" w:cs="Times New Roman"/>
          <w:sz w:val="24"/>
          <w:szCs w:val="24"/>
        </w:rPr>
        <w:lastRenderedPageBreak/>
        <w:t xml:space="preserve">hesaplamalara ilişkin olarak 13 üncü madde1 uyarınca hazırlanan finansal tablolarda herhangi bir kayda yer verilmeyerek, bu durum bilgi mahiyetinde dipnotlarda gösterilir. </w:t>
      </w:r>
    </w:p>
    <w:p w14:paraId="31AA6CF6" w14:textId="68B26C34" w:rsidR="00731E64" w:rsidRPr="0069503C" w:rsidRDefault="00174C42" w:rsidP="00174C42">
      <w:pPr>
        <w:jc w:val="both"/>
        <w:rPr>
          <w:rFonts w:ascii="Times New Roman" w:hAnsi="Times New Roman" w:cs="Times New Roman"/>
          <w:sz w:val="24"/>
          <w:szCs w:val="24"/>
        </w:rPr>
      </w:pPr>
      <w:r w:rsidRPr="0069503C">
        <w:rPr>
          <w:rFonts w:ascii="Times New Roman" w:hAnsi="Times New Roman" w:cs="Times New Roman"/>
          <w:sz w:val="24"/>
          <w:szCs w:val="24"/>
        </w:rPr>
        <w:t>Tebliğ yayımı tarihi itibariyle yürürlüğe girmiştir</w:t>
      </w:r>
      <w:r w:rsidR="00295945" w:rsidRPr="0069503C">
        <w:rPr>
          <w:rFonts w:ascii="Times New Roman" w:hAnsi="Times New Roman" w:cs="Times New Roman"/>
          <w:sz w:val="24"/>
          <w:szCs w:val="24"/>
        </w:rPr>
        <w:t>.</w:t>
      </w:r>
    </w:p>
    <w:p w14:paraId="07A76B82" w14:textId="702DCC06" w:rsidR="00295945" w:rsidRPr="0069503C" w:rsidRDefault="00295945" w:rsidP="00174C42">
      <w:pPr>
        <w:jc w:val="both"/>
        <w:rPr>
          <w:rFonts w:ascii="Times New Roman" w:hAnsi="Times New Roman" w:cs="Times New Roman"/>
          <w:sz w:val="24"/>
          <w:szCs w:val="24"/>
        </w:rPr>
      </w:pPr>
      <w:r w:rsidRPr="0069503C">
        <w:rPr>
          <w:rFonts w:ascii="Times New Roman" w:hAnsi="Times New Roman" w:cs="Times New Roman"/>
          <w:sz w:val="24"/>
          <w:szCs w:val="24"/>
        </w:rPr>
        <w:t>Kaynak:TURMOB</w:t>
      </w:r>
    </w:p>
    <w:p w14:paraId="130067D7" w14:textId="6ED8010C" w:rsidR="00295945" w:rsidRPr="0069503C" w:rsidRDefault="00295945" w:rsidP="00174C42">
      <w:pPr>
        <w:jc w:val="both"/>
        <w:rPr>
          <w:rFonts w:ascii="Times New Roman" w:hAnsi="Times New Roman" w:cs="Times New Roman"/>
          <w:sz w:val="24"/>
          <w:szCs w:val="24"/>
        </w:rPr>
      </w:pPr>
      <w:r w:rsidRPr="0069503C">
        <w:rPr>
          <w:rFonts w:ascii="Times New Roman" w:hAnsi="Times New Roman" w:cs="Times New Roman"/>
          <w:sz w:val="24"/>
          <w:szCs w:val="24"/>
        </w:rPr>
        <w:t>Saygılarımızla,</w:t>
      </w:r>
    </w:p>
    <w:p w14:paraId="5F34C119" w14:textId="57ACC347" w:rsidR="00295945" w:rsidRPr="0069503C" w:rsidRDefault="00295945" w:rsidP="00174C42">
      <w:pPr>
        <w:jc w:val="both"/>
        <w:rPr>
          <w:rFonts w:ascii="Times New Roman" w:hAnsi="Times New Roman" w:cs="Times New Roman"/>
          <w:sz w:val="24"/>
          <w:szCs w:val="24"/>
        </w:rPr>
      </w:pPr>
      <w:r w:rsidRPr="0069503C">
        <w:rPr>
          <w:rFonts w:ascii="Times New Roman" w:hAnsi="Times New Roman" w:cs="Times New Roman"/>
          <w:sz w:val="24"/>
          <w:szCs w:val="24"/>
        </w:rPr>
        <w:t>Destek YMM Ltd.Şti.</w:t>
      </w:r>
    </w:p>
    <w:sectPr w:rsidR="00295945" w:rsidRPr="0069503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 w:name="Tahoma">
    <w:panose1 w:val="020B0604030504040204"/>
    <w:charset w:val="A2"/>
    <w:family w:val="swiss"/>
    <w:pitch w:val="variable"/>
    <w:sig w:usb0="E1002EFF" w:usb1="C000605B" w:usb2="00000029" w:usb3="00000000" w:csb0="0001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41D5"/>
    <w:rsid w:val="00174C42"/>
    <w:rsid w:val="002241D5"/>
    <w:rsid w:val="00295945"/>
    <w:rsid w:val="0058623F"/>
    <w:rsid w:val="0069503C"/>
    <w:rsid w:val="00731A84"/>
    <w:rsid w:val="00731E64"/>
    <w:rsid w:val="00A571E3"/>
    <w:rsid w:val="00A820D6"/>
    <w:rsid w:val="00D71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251C3"/>
  <w15:chartTrackingRefBased/>
  <w15:docId w15:val="{FB073660-0A20-432D-A067-0856C855B7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2241D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2241D5"/>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2241D5"/>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2241D5"/>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2241D5"/>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2241D5"/>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2241D5"/>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2241D5"/>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2241D5"/>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2241D5"/>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2241D5"/>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2241D5"/>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2241D5"/>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2241D5"/>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2241D5"/>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2241D5"/>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2241D5"/>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2241D5"/>
    <w:rPr>
      <w:rFonts w:eastAsiaTheme="majorEastAsia" w:cstheme="majorBidi"/>
      <w:color w:val="272727" w:themeColor="text1" w:themeTint="D8"/>
    </w:rPr>
  </w:style>
  <w:style w:type="paragraph" w:styleId="KonuBal">
    <w:name w:val="Title"/>
    <w:basedOn w:val="Normal"/>
    <w:next w:val="Normal"/>
    <w:link w:val="KonuBalChar"/>
    <w:uiPriority w:val="10"/>
    <w:qFormat/>
    <w:rsid w:val="002241D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2241D5"/>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2241D5"/>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2241D5"/>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2241D5"/>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2241D5"/>
    <w:rPr>
      <w:i/>
      <w:iCs/>
      <w:color w:val="404040" w:themeColor="text1" w:themeTint="BF"/>
    </w:rPr>
  </w:style>
  <w:style w:type="paragraph" w:styleId="ListeParagraf">
    <w:name w:val="List Paragraph"/>
    <w:basedOn w:val="Normal"/>
    <w:uiPriority w:val="34"/>
    <w:qFormat/>
    <w:rsid w:val="002241D5"/>
    <w:pPr>
      <w:ind w:left="720"/>
      <w:contextualSpacing/>
    </w:pPr>
  </w:style>
  <w:style w:type="character" w:styleId="GlVurgulama">
    <w:name w:val="Intense Emphasis"/>
    <w:basedOn w:val="VarsaylanParagrafYazTipi"/>
    <w:uiPriority w:val="21"/>
    <w:qFormat/>
    <w:rsid w:val="002241D5"/>
    <w:rPr>
      <w:i/>
      <w:iCs/>
      <w:color w:val="2F5496" w:themeColor="accent1" w:themeShade="BF"/>
    </w:rPr>
  </w:style>
  <w:style w:type="paragraph" w:styleId="GlAlnt">
    <w:name w:val="Intense Quote"/>
    <w:basedOn w:val="Normal"/>
    <w:next w:val="Normal"/>
    <w:link w:val="GlAlntChar"/>
    <w:uiPriority w:val="30"/>
    <w:qFormat/>
    <w:rsid w:val="002241D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2241D5"/>
    <w:rPr>
      <w:i/>
      <w:iCs/>
      <w:color w:val="2F5496" w:themeColor="accent1" w:themeShade="BF"/>
    </w:rPr>
  </w:style>
  <w:style w:type="character" w:styleId="GlBavuru">
    <w:name w:val="Intense Reference"/>
    <w:basedOn w:val="VarsaylanParagrafYazTipi"/>
    <w:uiPriority w:val="32"/>
    <w:qFormat/>
    <w:rsid w:val="002241D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3</Pages>
  <Words>902</Words>
  <Characters>5143</Characters>
  <Application>Microsoft Office Word</Application>
  <DocSecurity>0</DocSecurity>
  <Lines>42</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Sinan Dölcü</dc:creator>
  <cp:keywords/>
  <dc:description/>
  <cp:lastModifiedBy>Sinan Dölcü</cp:lastModifiedBy>
  <cp:revision>4</cp:revision>
  <dcterms:created xsi:type="dcterms:W3CDTF">2025-12-15T10:24:00Z</dcterms:created>
  <dcterms:modified xsi:type="dcterms:W3CDTF">2025-12-15T10:44:00Z</dcterms:modified>
</cp:coreProperties>
</file>