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799E" w14:textId="77777777" w:rsidR="00F202BA" w:rsidRPr="00D71BE6" w:rsidRDefault="00F202BA" w:rsidP="00F202BA">
      <w:pPr>
        <w:spacing w:before="100" w:beforeAutospacing="1" w:after="100" w:afterAutospacing="1" w:line="252" w:lineRule="auto"/>
        <w:jc w:val="center"/>
        <w:rPr>
          <w:rFonts w:ascii="Tahoma" w:eastAsia="Times New Roman" w:hAnsi="Tahoma" w:cs="Times New Roman"/>
          <w:b/>
          <w:color w:val="008000"/>
        </w:rPr>
      </w:pPr>
      <w:r w:rsidRPr="00D71BE6">
        <w:rPr>
          <w:rFonts w:ascii="Tahoma" w:eastAsia="Times New Roman" w:hAnsi="Tahoma" w:cs="Times New Roman"/>
          <w:b/>
          <w:color w:val="008000"/>
        </w:rPr>
        <w:t>DESTEK YEMİNLİ MALİ MÜŞAVİRLİK</w:t>
      </w:r>
    </w:p>
    <w:p w14:paraId="4E6B6B27" w14:textId="77777777" w:rsidR="00F202BA" w:rsidRPr="00D71BE6" w:rsidRDefault="00F202BA" w:rsidP="00F202BA">
      <w:pPr>
        <w:spacing w:before="100" w:beforeAutospacing="1" w:after="100" w:afterAutospacing="1" w:line="252" w:lineRule="auto"/>
        <w:jc w:val="center"/>
        <w:rPr>
          <w:rFonts w:ascii="Tahoma" w:eastAsia="Times New Roman" w:hAnsi="Tahoma" w:cs="Times New Roman"/>
          <w:b/>
          <w:color w:val="008000"/>
        </w:rPr>
      </w:pPr>
      <w:r w:rsidRPr="00D71BE6">
        <w:rPr>
          <w:rFonts w:ascii="Tahoma" w:eastAsia="Times New Roman" w:hAnsi="Tahoma" w:cs="Times New Roman"/>
          <w:b/>
          <w:color w:val="008000"/>
        </w:rPr>
        <w:t>LİMİTED ŞİRKETİ</w:t>
      </w:r>
    </w:p>
    <w:p w14:paraId="09FA9F52" w14:textId="77777777" w:rsidR="00F202BA" w:rsidRPr="00D71BE6" w:rsidRDefault="00F202BA" w:rsidP="00F202BA">
      <w:pPr>
        <w:spacing w:line="252" w:lineRule="auto"/>
        <w:jc w:val="center"/>
        <w:rPr>
          <w:b/>
          <w:color w:val="008000"/>
        </w:rPr>
      </w:pPr>
      <w:r w:rsidRPr="00D71BE6">
        <w:rPr>
          <w:b/>
          <w:color w:val="008000"/>
        </w:rPr>
        <w:t xml:space="preserve">SAHRAYICEDİT MAH. ATATÜRK CAD. MESA KOZ PLAZA NO:69 K:11 D:146 KADIKÖY/İST. </w:t>
      </w:r>
    </w:p>
    <w:p w14:paraId="6EBED2B2" w14:textId="77777777" w:rsidR="00F202BA" w:rsidRPr="00D71BE6" w:rsidRDefault="00F202BA" w:rsidP="00F202BA">
      <w:pPr>
        <w:spacing w:line="252" w:lineRule="auto"/>
        <w:jc w:val="center"/>
        <w:rPr>
          <w:b/>
          <w:color w:val="008000"/>
        </w:rPr>
      </w:pPr>
      <w:r w:rsidRPr="00D71BE6">
        <w:rPr>
          <w:b/>
          <w:color w:val="008000"/>
        </w:rPr>
        <w:t xml:space="preserve">TEL:0 216 759 33 58 </w:t>
      </w:r>
      <w:proofErr w:type="spellStart"/>
      <w:r w:rsidRPr="00D71BE6">
        <w:rPr>
          <w:b/>
          <w:color w:val="008000"/>
        </w:rPr>
        <w:t>pbx</w:t>
      </w:r>
      <w:proofErr w:type="spellEnd"/>
    </w:p>
    <w:p w14:paraId="29A5E290" w14:textId="77777777" w:rsidR="00F202BA" w:rsidRPr="003D7054" w:rsidRDefault="00F202BA" w:rsidP="00F202BA">
      <w:pPr>
        <w:spacing w:line="252" w:lineRule="auto"/>
        <w:jc w:val="center"/>
        <w:rPr>
          <w:bCs/>
          <w:color w:val="008000"/>
        </w:rPr>
      </w:pPr>
      <w:r w:rsidRPr="003D7054">
        <w:rPr>
          <w:bCs/>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F202BA" w:rsidRPr="00D71BE6" w14:paraId="597D2ECF" w14:textId="77777777" w:rsidTr="001E23F7">
        <w:trPr>
          <w:cantSplit/>
          <w:trHeight w:val="247"/>
        </w:trPr>
        <w:tc>
          <w:tcPr>
            <w:tcW w:w="9681" w:type="dxa"/>
            <w:gridSpan w:val="3"/>
            <w:hideMark/>
          </w:tcPr>
          <w:p w14:paraId="5BF1775E" w14:textId="77777777" w:rsidR="00F202BA" w:rsidRPr="00D71BE6" w:rsidRDefault="00F202BA" w:rsidP="001E23F7">
            <w:pPr>
              <w:spacing w:line="252" w:lineRule="auto"/>
              <w:jc w:val="center"/>
              <w:rPr>
                <w:rFonts w:ascii="Times New Roman" w:eastAsia="Times New Roman" w:hAnsi="Times New Roman" w:cs="Times New Roman"/>
              </w:rPr>
            </w:pPr>
            <w:r w:rsidRPr="00D71BE6">
              <w:rPr>
                <w:b/>
                <w:u w:val="single"/>
              </w:rPr>
              <w:t xml:space="preserve">S   İ   R   K   Ü   L   E   R           </w:t>
            </w:r>
            <w:proofErr w:type="spellStart"/>
            <w:r w:rsidRPr="00D71BE6">
              <w:rPr>
                <w:b/>
                <w:u w:val="single"/>
              </w:rPr>
              <w:t>R</w:t>
            </w:r>
            <w:proofErr w:type="spellEnd"/>
            <w:r w:rsidRPr="00D71BE6">
              <w:rPr>
                <w:b/>
                <w:u w:val="single"/>
              </w:rPr>
              <w:t xml:space="preserve">   A   P   O   R        </w:t>
            </w:r>
            <w:proofErr w:type="gramStart"/>
            <w:r w:rsidRPr="00D71BE6">
              <w:rPr>
                <w:b/>
                <w:u w:val="single"/>
              </w:rPr>
              <w:t xml:space="preserve">  .</w:t>
            </w:r>
            <w:proofErr w:type="gramEnd"/>
          </w:p>
        </w:tc>
      </w:tr>
      <w:tr w:rsidR="00F202BA" w:rsidRPr="00D71BE6" w14:paraId="7DA22EF0" w14:textId="77777777" w:rsidTr="001E23F7">
        <w:trPr>
          <w:cantSplit/>
          <w:trHeight w:val="225"/>
        </w:trPr>
        <w:tc>
          <w:tcPr>
            <w:tcW w:w="9681" w:type="dxa"/>
            <w:gridSpan w:val="3"/>
            <w:hideMark/>
          </w:tcPr>
          <w:p w14:paraId="327996FD" w14:textId="77777777" w:rsidR="00F202BA" w:rsidRPr="00D71BE6" w:rsidRDefault="00F202BA" w:rsidP="001E23F7">
            <w:pPr>
              <w:spacing w:line="252" w:lineRule="auto"/>
              <w:rPr>
                <w:rFonts w:ascii="Times New Roman" w:eastAsia="Times New Roman" w:hAnsi="Times New Roman" w:cs="Times New Roman"/>
              </w:rPr>
            </w:pPr>
            <w:r w:rsidRPr="00D71BE6">
              <w:rPr>
                <w:b/>
              </w:rPr>
              <w:t xml:space="preserve">Destek </w:t>
            </w:r>
            <w:proofErr w:type="gramStart"/>
            <w:r w:rsidRPr="00D71BE6">
              <w:rPr>
                <w:b/>
              </w:rPr>
              <w:t>YMM  LTD.</w:t>
            </w:r>
            <w:proofErr w:type="gramEnd"/>
            <w:r w:rsidRPr="00D71BE6">
              <w:rPr>
                <w:b/>
              </w:rPr>
              <w:t xml:space="preserve"> </w:t>
            </w:r>
            <w:proofErr w:type="spellStart"/>
            <w:r w:rsidRPr="00D71BE6">
              <w:rPr>
                <w:b/>
              </w:rPr>
              <w:t>ŞTİ’nin</w:t>
            </w:r>
            <w:proofErr w:type="spellEnd"/>
            <w:r w:rsidRPr="00D71BE6">
              <w:rPr>
                <w:b/>
              </w:rPr>
              <w:t xml:space="preserve"> müşterilerine özel bir hizmetidir. İzinsiz çoğaltılamaz, iktibas edilemez.</w:t>
            </w:r>
          </w:p>
        </w:tc>
      </w:tr>
      <w:tr w:rsidR="00F202BA" w:rsidRPr="00D71BE6" w14:paraId="00D37CE0" w14:textId="77777777" w:rsidTr="001E23F7">
        <w:trPr>
          <w:trHeight w:val="225"/>
        </w:trPr>
        <w:tc>
          <w:tcPr>
            <w:tcW w:w="2689" w:type="dxa"/>
            <w:hideMark/>
          </w:tcPr>
          <w:p w14:paraId="51EFB4E2" w14:textId="77777777" w:rsidR="00F202BA" w:rsidRPr="00D71BE6" w:rsidRDefault="00F202BA" w:rsidP="001E23F7">
            <w:pPr>
              <w:spacing w:line="252" w:lineRule="auto"/>
              <w:rPr>
                <w:rFonts w:ascii="Times New Roman" w:eastAsia="Times New Roman" w:hAnsi="Times New Roman" w:cs="Times New Roman"/>
                <w:b/>
              </w:rPr>
            </w:pPr>
            <w:r w:rsidRPr="00D71BE6">
              <w:rPr>
                <w:rFonts w:ascii="Times New Roman" w:hAnsi="Times New Roman" w:cs="Times New Roman"/>
                <w:b/>
              </w:rPr>
              <w:t>SİRKÜLER TARİHİ</w:t>
            </w:r>
          </w:p>
        </w:tc>
        <w:tc>
          <w:tcPr>
            <w:tcW w:w="384" w:type="dxa"/>
            <w:hideMark/>
          </w:tcPr>
          <w:p w14:paraId="73FB1A24" w14:textId="77777777" w:rsidR="00F202BA" w:rsidRPr="00D71BE6" w:rsidRDefault="00F202BA" w:rsidP="001E23F7">
            <w:pPr>
              <w:spacing w:line="252" w:lineRule="auto"/>
              <w:rPr>
                <w:rFonts w:ascii="Times New Roman" w:eastAsia="Times New Roman" w:hAnsi="Times New Roman" w:cs="Times New Roman"/>
                <w:b/>
              </w:rPr>
            </w:pPr>
            <w:r w:rsidRPr="00D71BE6">
              <w:rPr>
                <w:b/>
              </w:rPr>
              <w:t>:</w:t>
            </w:r>
          </w:p>
        </w:tc>
        <w:tc>
          <w:tcPr>
            <w:tcW w:w="6608" w:type="dxa"/>
            <w:hideMark/>
          </w:tcPr>
          <w:p w14:paraId="0326C155" w14:textId="77777777" w:rsidR="00F202BA" w:rsidRPr="00D71BE6" w:rsidRDefault="00F202BA" w:rsidP="001E23F7">
            <w:pPr>
              <w:spacing w:line="252" w:lineRule="auto"/>
              <w:rPr>
                <w:rFonts w:ascii="Times New Roman" w:eastAsia="Times New Roman" w:hAnsi="Times New Roman" w:cs="Times New Roman"/>
                <w:b/>
              </w:rPr>
            </w:pPr>
            <w:r>
              <w:rPr>
                <w:rFonts w:ascii="Times New Roman" w:hAnsi="Times New Roman" w:cs="Times New Roman"/>
                <w:b/>
              </w:rPr>
              <w:t>22</w:t>
            </w:r>
            <w:r w:rsidRPr="00D71BE6">
              <w:rPr>
                <w:rFonts w:ascii="Times New Roman" w:hAnsi="Times New Roman" w:cs="Times New Roman"/>
                <w:b/>
              </w:rPr>
              <w:t>/12/2025</w:t>
            </w:r>
          </w:p>
        </w:tc>
      </w:tr>
      <w:tr w:rsidR="00F202BA" w:rsidRPr="00D71BE6" w14:paraId="4F657D70" w14:textId="77777777" w:rsidTr="001E23F7">
        <w:trPr>
          <w:trHeight w:val="225"/>
        </w:trPr>
        <w:tc>
          <w:tcPr>
            <w:tcW w:w="2689" w:type="dxa"/>
            <w:hideMark/>
          </w:tcPr>
          <w:p w14:paraId="4C6A4A2F" w14:textId="77777777" w:rsidR="00F202BA" w:rsidRPr="00D71BE6" w:rsidRDefault="00F202BA" w:rsidP="001E23F7">
            <w:pPr>
              <w:spacing w:line="252" w:lineRule="auto"/>
              <w:rPr>
                <w:rFonts w:ascii="Times New Roman" w:eastAsia="Times New Roman" w:hAnsi="Times New Roman" w:cs="Times New Roman"/>
                <w:b/>
              </w:rPr>
            </w:pPr>
            <w:r w:rsidRPr="00D71BE6">
              <w:rPr>
                <w:rFonts w:ascii="Times New Roman" w:hAnsi="Times New Roman" w:cs="Times New Roman"/>
                <w:b/>
              </w:rPr>
              <w:t>SİRKÜLER SAYI</w:t>
            </w:r>
          </w:p>
        </w:tc>
        <w:tc>
          <w:tcPr>
            <w:tcW w:w="384" w:type="dxa"/>
            <w:hideMark/>
          </w:tcPr>
          <w:p w14:paraId="24ACCF60" w14:textId="77777777" w:rsidR="00F202BA" w:rsidRPr="00D71BE6" w:rsidRDefault="00F202BA" w:rsidP="001E23F7">
            <w:pPr>
              <w:spacing w:line="252" w:lineRule="auto"/>
              <w:rPr>
                <w:rFonts w:ascii="Times New Roman" w:eastAsia="Times New Roman" w:hAnsi="Times New Roman" w:cs="Times New Roman"/>
                <w:b/>
              </w:rPr>
            </w:pPr>
            <w:r w:rsidRPr="00D71BE6">
              <w:rPr>
                <w:b/>
              </w:rPr>
              <w:t>:</w:t>
            </w:r>
          </w:p>
        </w:tc>
        <w:tc>
          <w:tcPr>
            <w:tcW w:w="6608" w:type="dxa"/>
            <w:hideMark/>
          </w:tcPr>
          <w:p w14:paraId="149C6899" w14:textId="56B83434" w:rsidR="00F202BA" w:rsidRPr="00D71BE6" w:rsidRDefault="00F202BA" w:rsidP="001E23F7">
            <w:pPr>
              <w:spacing w:line="252" w:lineRule="auto"/>
              <w:rPr>
                <w:rFonts w:ascii="Times New Roman" w:eastAsia="Times New Roman" w:hAnsi="Times New Roman" w:cs="Times New Roman"/>
                <w:b/>
              </w:rPr>
            </w:pPr>
            <w:r w:rsidRPr="00D71BE6">
              <w:rPr>
                <w:rFonts w:ascii="Times New Roman" w:hAnsi="Times New Roman" w:cs="Times New Roman"/>
                <w:b/>
              </w:rPr>
              <w:t>2025/1</w:t>
            </w:r>
            <w:r>
              <w:rPr>
                <w:rFonts w:ascii="Times New Roman" w:hAnsi="Times New Roman" w:cs="Times New Roman"/>
                <w:b/>
              </w:rPr>
              <w:t>77</w:t>
            </w:r>
          </w:p>
        </w:tc>
      </w:tr>
      <w:tr w:rsidR="00F202BA" w:rsidRPr="00D71BE6" w14:paraId="7B3E5271" w14:textId="77777777" w:rsidTr="001E23F7">
        <w:trPr>
          <w:trHeight w:val="607"/>
        </w:trPr>
        <w:tc>
          <w:tcPr>
            <w:tcW w:w="2689" w:type="dxa"/>
            <w:hideMark/>
          </w:tcPr>
          <w:p w14:paraId="038A12F3" w14:textId="77777777" w:rsidR="00F202BA" w:rsidRPr="00D71BE6" w:rsidRDefault="00F202BA" w:rsidP="001E23F7">
            <w:pPr>
              <w:spacing w:line="252" w:lineRule="auto"/>
              <w:rPr>
                <w:rFonts w:ascii="Times New Roman" w:eastAsia="Times New Roman" w:hAnsi="Times New Roman" w:cs="Times New Roman"/>
                <w:b/>
                <w:sz w:val="24"/>
                <w:szCs w:val="24"/>
              </w:rPr>
            </w:pPr>
            <w:r w:rsidRPr="00D71BE6">
              <w:rPr>
                <w:rFonts w:ascii="Times New Roman" w:hAnsi="Times New Roman" w:cs="Times New Roman"/>
                <w:b/>
                <w:sz w:val="24"/>
                <w:szCs w:val="24"/>
              </w:rPr>
              <w:t>KONU</w:t>
            </w:r>
          </w:p>
        </w:tc>
        <w:tc>
          <w:tcPr>
            <w:tcW w:w="384" w:type="dxa"/>
            <w:hideMark/>
          </w:tcPr>
          <w:p w14:paraId="63059EE9" w14:textId="77777777" w:rsidR="00F202BA" w:rsidRPr="00D71BE6" w:rsidRDefault="00F202BA" w:rsidP="001E23F7">
            <w:pPr>
              <w:spacing w:line="252" w:lineRule="auto"/>
              <w:rPr>
                <w:rFonts w:ascii="Times New Roman" w:eastAsia="Times New Roman" w:hAnsi="Times New Roman" w:cs="Times New Roman"/>
                <w:b/>
                <w:sz w:val="24"/>
                <w:szCs w:val="24"/>
              </w:rPr>
            </w:pPr>
            <w:r w:rsidRPr="00D71BE6">
              <w:rPr>
                <w:rFonts w:ascii="Times New Roman" w:hAnsi="Times New Roman" w:cs="Times New Roman"/>
                <w:b/>
                <w:sz w:val="24"/>
                <w:szCs w:val="24"/>
              </w:rPr>
              <w:t>:</w:t>
            </w:r>
          </w:p>
        </w:tc>
        <w:tc>
          <w:tcPr>
            <w:tcW w:w="6608" w:type="dxa"/>
            <w:vAlign w:val="center"/>
            <w:hideMark/>
          </w:tcPr>
          <w:p w14:paraId="5BA8F14F" w14:textId="4B4E69A4" w:rsidR="00F202BA" w:rsidRPr="008A3BF7" w:rsidRDefault="00F202BA" w:rsidP="001E23F7">
            <w:pPr>
              <w:jc w:val="both"/>
              <w:rPr>
                <w:rFonts w:ascii="Arial" w:hAnsi="Arial" w:cs="Arial"/>
                <w:b/>
                <w:bCs/>
                <w:sz w:val="16"/>
                <w:szCs w:val="16"/>
              </w:rPr>
            </w:pPr>
            <w:r w:rsidRPr="008A3BF7">
              <w:rPr>
                <w:rFonts w:ascii="Arial" w:hAnsi="Arial" w:cs="Arial"/>
                <w:b/>
                <w:bCs/>
                <w:sz w:val="16"/>
                <w:szCs w:val="16"/>
              </w:rPr>
              <w:t xml:space="preserve">TCMB Tarafından Alım Satım Konusu Yapılan Döviz Listesi Değişti </w:t>
            </w:r>
          </w:p>
        </w:tc>
      </w:tr>
    </w:tbl>
    <w:p w14:paraId="42D61453" w14:textId="176BF9D6" w:rsidR="00F202BA" w:rsidRPr="00F202BA" w:rsidRDefault="00F202BA" w:rsidP="00F202BA">
      <w:pPr>
        <w:jc w:val="both"/>
        <w:rPr>
          <w:rFonts w:ascii="Times New Roman" w:hAnsi="Times New Roman" w:cs="Times New Roman"/>
          <w:b/>
          <w:bCs/>
          <w:sz w:val="24"/>
          <w:szCs w:val="24"/>
        </w:rPr>
      </w:pPr>
    </w:p>
    <w:p w14:paraId="6F1218A4" w14:textId="77777777" w:rsidR="00F202BA" w:rsidRDefault="00F202BA" w:rsidP="00F202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202BA">
        <w:rPr>
          <w:rFonts w:ascii="Times New Roman" w:hAnsi="Times New Roman" w:cs="Times New Roman"/>
          <w:sz w:val="24"/>
          <w:szCs w:val="24"/>
        </w:rPr>
        <w:t>ÖZET</w:t>
      </w:r>
      <w:r>
        <w:rPr>
          <w:rFonts w:ascii="Times New Roman" w:hAnsi="Times New Roman" w:cs="Times New Roman"/>
          <w:sz w:val="24"/>
          <w:szCs w:val="24"/>
        </w:rPr>
        <w:t>:</w:t>
      </w:r>
    </w:p>
    <w:p w14:paraId="1052017E" w14:textId="77777777" w:rsidR="00F202BA" w:rsidRDefault="00F202BA" w:rsidP="00F202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202BA">
        <w:rPr>
          <w:rFonts w:ascii="Times New Roman" w:hAnsi="Times New Roman" w:cs="Times New Roman"/>
          <w:sz w:val="24"/>
          <w:szCs w:val="24"/>
        </w:rPr>
        <w:t xml:space="preserve">Türk Parası Kıymetini Koruma Hakkında 32 Sayılı Karar ile Hazine ve Maliye Bakanlığının 2008-32/34 Sayılı Tebliğine İlişkin I-M Sayılı Türkiye Cumhuriyet Merkez Bankası Genelgesinde Değişiklik Yapılmasına Dair Genelge (Sayı: 2025/29) ile 2 Ocak 2026 tarihinden itibaren Türkiye Cumhuriyet Merkez Bankası’nca alım satım konusu yapılan dövizler listesi değiştirildi. </w:t>
      </w:r>
    </w:p>
    <w:p w14:paraId="76764E19"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Türk Parası Kıymetini Koruma Hakkında 32 Sayılı Karar ile Başbakanlık Hazine Müsteşarlığı'nın 2008-32/34 Sayılı Tebliğine İlişkin Türkiye Cumhuriyet Merkez Bankası Genelgesinde 20 Aralık 2025 tarihli ve 33113 sayılı Resmi Gazetede yayımlanan Türk Parası Kıymetini Koruma Hakkında 32 Sayılı Karar ile Hazine ve Maliye Bakanlığının 2008-32/34 Sayılı Tebliğine İlişkin I-M Sayılı Türkiye Cumhuriyet Merkez Bankası Genelgesinde Değişiklik Yapılmasına Dair Genelge (Sayı: 2025/29) ile değişiklik yapılmıştır. </w:t>
      </w:r>
    </w:p>
    <w:p w14:paraId="78AA2725"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Yapılan değişiklikle Türkiye Cumhuriyet Merkez Bankası’nca alım satım konusu yapılan dövizler listesine, Bulgar Levası ile İran Riyali, çıkarılırken Azerbaycan Yeni Manatı (AZN), Birleşik Arap Emirlikleri Dirhemi AED, Çin YUANI CNY, Güney Kore </w:t>
      </w:r>
      <w:proofErr w:type="spellStart"/>
      <w:r w:rsidRPr="00F202BA">
        <w:rPr>
          <w:rFonts w:ascii="Times New Roman" w:hAnsi="Times New Roman" w:cs="Times New Roman"/>
          <w:sz w:val="24"/>
          <w:szCs w:val="24"/>
        </w:rPr>
        <w:t>Wonu</w:t>
      </w:r>
      <w:proofErr w:type="spellEnd"/>
      <w:r w:rsidRPr="00F202BA">
        <w:rPr>
          <w:rFonts w:ascii="Times New Roman" w:hAnsi="Times New Roman" w:cs="Times New Roman"/>
          <w:sz w:val="24"/>
          <w:szCs w:val="24"/>
        </w:rPr>
        <w:t xml:space="preserve"> KRW, Kazakistan </w:t>
      </w:r>
      <w:proofErr w:type="spellStart"/>
      <w:r w:rsidRPr="00F202BA">
        <w:rPr>
          <w:rFonts w:ascii="Times New Roman" w:hAnsi="Times New Roman" w:cs="Times New Roman"/>
          <w:sz w:val="24"/>
          <w:szCs w:val="24"/>
        </w:rPr>
        <w:t>Tengesi</w:t>
      </w:r>
      <w:proofErr w:type="spellEnd"/>
      <w:r w:rsidRPr="00F202BA">
        <w:rPr>
          <w:rFonts w:ascii="Times New Roman" w:hAnsi="Times New Roman" w:cs="Times New Roman"/>
          <w:sz w:val="24"/>
          <w:szCs w:val="24"/>
        </w:rPr>
        <w:t xml:space="preserve"> KZT, Katar Riyali QAR ve Pakistan Rupisi PKR eklenmiştir. </w:t>
      </w:r>
    </w:p>
    <w:p w14:paraId="2369B1D6"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2 Ocak 2026 tarihinden itibaren Türkiye Cumhuriyet Merkez Bankası'nca alım satım konusu yapılan dövizler aşağıdaki gibi olmuştur. </w:t>
      </w:r>
    </w:p>
    <w:p w14:paraId="068745C4"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1. ABD Doları (USD) </w:t>
      </w:r>
    </w:p>
    <w:p w14:paraId="324CEFDB"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2. Avustralya Doları (AUD) </w:t>
      </w:r>
    </w:p>
    <w:p w14:paraId="5DED00DB"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3. Azerbaycan Yeni Manatı (AZN) </w:t>
      </w:r>
    </w:p>
    <w:p w14:paraId="7AB71363"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4. Birleşik Arap Emirlikleri Dirhemi AED </w:t>
      </w:r>
    </w:p>
    <w:p w14:paraId="6A1B2CA1"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5. Çin YUANI CNY </w:t>
      </w:r>
    </w:p>
    <w:p w14:paraId="44239EAE" w14:textId="258B3FCC"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lastRenderedPageBreak/>
        <w:t xml:space="preserve">6. Danimarka Kronu (DKK) </w:t>
      </w:r>
    </w:p>
    <w:p w14:paraId="2AE27EBF"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7. Euro (EUR) </w:t>
      </w:r>
    </w:p>
    <w:p w14:paraId="7BD4CCD1"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8. Güney Kore </w:t>
      </w:r>
      <w:proofErr w:type="spellStart"/>
      <w:r w:rsidRPr="00F202BA">
        <w:rPr>
          <w:rFonts w:ascii="Times New Roman" w:hAnsi="Times New Roman" w:cs="Times New Roman"/>
          <w:sz w:val="24"/>
          <w:szCs w:val="24"/>
        </w:rPr>
        <w:t>Wonu</w:t>
      </w:r>
      <w:proofErr w:type="spellEnd"/>
      <w:r w:rsidRPr="00F202BA">
        <w:rPr>
          <w:rFonts w:ascii="Times New Roman" w:hAnsi="Times New Roman" w:cs="Times New Roman"/>
          <w:sz w:val="24"/>
          <w:szCs w:val="24"/>
        </w:rPr>
        <w:t xml:space="preserve"> KRW </w:t>
      </w:r>
    </w:p>
    <w:p w14:paraId="076B74A6"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9. İngiliz Sterlini (GBP) </w:t>
      </w:r>
    </w:p>
    <w:p w14:paraId="15FF512D" w14:textId="7ED9DFCB"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10.İsveç Kronu (SEK) </w:t>
      </w:r>
    </w:p>
    <w:p w14:paraId="3D4F603A"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11.İsviçre Frangı (CHF) </w:t>
      </w:r>
    </w:p>
    <w:p w14:paraId="0399E856"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12.Japon Yeni (JPY) </w:t>
      </w:r>
    </w:p>
    <w:p w14:paraId="4A449C9F"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13.Kanada Doları (CAD) </w:t>
      </w:r>
    </w:p>
    <w:p w14:paraId="445778CF"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14.Katar Riyali QAR </w:t>
      </w:r>
    </w:p>
    <w:p w14:paraId="3E66AE72"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15.Kazakistan </w:t>
      </w:r>
      <w:proofErr w:type="spellStart"/>
      <w:r w:rsidRPr="00F202BA">
        <w:rPr>
          <w:rFonts w:ascii="Times New Roman" w:hAnsi="Times New Roman" w:cs="Times New Roman"/>
          <w:sz w:val="24"/>
          <w:szCs w:val="24"/>
        </w:rPr>
        <w:t>Tengesi</w:t>
      </w:r>
      <w:proofErr w:type="spellEnd"/>
      <w:r w:rsidRPr="00F202BA">
        <w:rPr>
          <w:rFonts w:ascii="Times New Roman" w:hAnsi="Times New Roman" w:cs="Times New Roman"/>
          <w:sz w:val="24"/>
          <w:szCs w:val="24"/>
        </w:rPr>
        <w:t xml:space="preserve"> KZT </w:t>
      </w:r>
    </w:p>
    <w:p w14:paraId="62322897"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16.Kuveyt Dinarı (KWD) </w:t>
      </w:r>
    </w:p>
    <w:p w14:paraId="3424576F"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17.Norveç Kronu (NOK) </w:t>
      </w:r>
    </w:p>
    <w:p w14:paraId="7E908A7E"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18.Pakistan Rupisi PKR </w:t>
      </w:r>
    </w:p>
    <w:p w14:paraId="3C7FE016"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19.Rumen Leyi (RON) </w:t>
      </w:r>
    </w:p>
    <w:p w14:paraId="5C01C890" w14:textId="77777777" w:rsidR="00F202BA"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 xml:space="preserve">20.Rus Rublesi (RUB) </w:t>
      </w:r>
    </w:p>
    <w:p w14:paraId="7F168BEA" w14:textId="10C47679" w:rsidR="00731E64" w:rsidRDefault="00F202BA" w:rsidP="00F202BA">
      <w:pPr>
        <w:jc w:val="both"/>
        <w:rPr>
          <w:rFonts w:ascii="Times New Roman" w:hAnsi="Times New Roman" w:cs="Times New Roman"/>
          <w:sz w:val="24"/>
          <w:szCs w:val="24"/>
        </w:rPr>
      </w:pPr>
      <w:r w:rsidRPr="00F202BA">
        <w:rPr>
          <w:rFonts w:ascii="Times New Roman" w:hAnsi="Times New Roman" w:cs="Times New Roman"/>
          <w:sz w:val="24"/>
          <w:szCs w:val="24"/>
        </w:rPr>
        <w:t>21.Suudi Arabistan Riyali (SAR)</w:t>
      </w:r>
    </w:p>
    <w:p w14:paraId="1FF7EBCA" w14:textId="77777777" w:rsidR="00921DFB" w:rsidRDefault="00921DFB" w:rsidP="00F202BA">
      <w:pPr>
        <w:jc w:val="both"/>
        <w:rPr>
          <w:rFonts w:ascii="Times New Roman" w:hAnsi="Times New Roman" w:cs="Times New Roman"/>
          <w:sz w:val="24"/>
          <w:szCs w:val="24"/>
        </w:rPr>
      </w:pPr>
    </w:p>
    <w:p w14:paraId="636E6838" w14:textId="53668B39" w:rsidR="00F202BA" w:rsidRDefault="00F202BA" w:rsidP="00F202BA">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Kaynak:TURMOB</w:t>
      </w:r>
      <w:proofErr w:type="spellEnd"/>
      <w:proofErr w:type="gramEnd"/>
    </w:p>
    <w:p w14:paraId="054F158E" w14:textId="6B4BD341" w:rsidR="00F202BA" w:rsidRDefault="00F202BA" w:rsidP="00F202BA">
      <w:pPr>
        <w:jc w:val="both"/>
        <w:rPr>
          <w:rFonts w:ascii="Times New Roman" w:hAnsi="Times New Roman" w:cs="Times New Roman"/>
          <w:sz w:val="24"/>
          <w:szCs w:val="24"/>
        </w:rPr>
      </w:pPr>
      <w:r>
        <w:rPr>
          <w:rFonts w:ascii="Times New Roman" w:hAnsi="Times New Roman" w:cs="Times New Roman"/>
          <w:sz w:val="24"/>
          <w:szCs w:val="24"/>
        </w:rPr>
        <w:t>Saygılarımızla,</w:t>
      </w:r>
    </w:p>
    <w:p w14:paraId="791A1441" w14:textId="519215D1" w:rsidR="00F202BA" w:rsidRPr="00F202BA" w:rsidRDefault="00F202BA" w:rsidP="00F202BA">
      <w:pPr>
        <w:jc w:val="both"/>
        <w:rPr>
          <w:rFonts w:ascii="Times New Roman" w:hAnsi="Times New Roman" w:cs="Times New Roman"/>
          <w:sz w:val="24"/>
          <w:szCs w:val="24"/>
        </w:rPr>
      </w:pPr>
      <w:r>
        <w:rPr>
          <w:rFonts w:ascii="Times New Roman" w:hAnsi="Times New Roman" w:cs="Times New Roman"/>
          <w:sz w:val="24"/>
          <w:szCs w:val="24"/>
        </w:rPr>
        <w:t xml:space="preserve">Destek YMM </w:t>
      </w:r>
      <w:proofErr w:type="spellStart"/>
      <w:r>
        <w:rPr>
          <w:rFonts w:ascii="Times New Roman" w:hAnsi="Times New Roman" w:cs="Times New Roman"/>
          <w:sz w:val="24"/>
          <w:szCs w:val="24"/>
        </w:rPr>
        <w:t>Ltd.Şti</w:t>
      </w:r>
      <w:proofErr w:type="spellEnd"/>
      <w:r>
        <w:rPr>
          <w:rFonts w:ascii="Times New Roman" w:hAnsi="Times New Roman" w:cs="Times New Roman"/>
          <w:sz w:val="24"/>
          <w:szCs w:val="24"/>
        </w:rPr>
        <w:t>.</w:t>
      </w:r>
    </w:p>
    <w:p w14:paraId="2F126EF7" w14:textId="77777777" w:rsidR="00F202BA" w:rsidRPr="00F202BA" w:rsidRDefault="00F202BA">
      <w:pPr>
        <w:jc w:val="both"/>
        <w:rPr>
          <w:rFonts w:ascii="Times New Roman" w:hAnsi="Times New Roman" w:cs="Times New Roman"/>
          <w:sz w:val="24"/>
          <w:szCs w:val="24"/>
        </w:rPr>
      </w:pPr>
    </w:p>
    <w:sectPr w:rsidR="00F202BA" w:rsidRPr="00F20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17"/>
    <w:rsid w:val="00024117"/>
    <w:rsid w:val="003A3617"/>
    <w:rsid w:val="0058623F"/>
    <w:rsid w:val="00731E64"/>
    <w:rsid w:val="00817846"/>
    <w:rsid w:val="008A3BF7"/>
    <w:rsid w:val="00921DFB"/>
    <w:rsid w:val="00A571E3"/>
    <w:rsid w:val="00F202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C732"/>
  <w15:chartTrackingRefBased/>
  <w15:docId w15:val="{76DCD19B-739C-42B6-9F91-181B577E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241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241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2411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2411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2411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2411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2411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2411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2411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411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2411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2411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2411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2411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2411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2411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2411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24117"/>
    <w:rPr>
      <w:rFonts w:eastAsiaTheme="majorEastAsia" w:cstheme="majorBidi"/>
      <w:color w:val="272727" w:themeColor="text1" w:themeTint="D8"/>
    </w:rPr>
  </w:style>
  <w:style w:type="paragraph" w:styleId="KonuBal">
    <w:name w:val="Title"/>
    <w:basedOn w:val="Normal"/>
    <w:next w:val="Normal"/>
    <w:link w:val="KonuBalChar"/>
    <w:uiPriority w:val="10"/>
    <w:qFormat/>
    <w:rsid w:val="00024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2411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2411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2411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2411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24117"/>
    <w:rPr>
      <w:i/>
      <w:iCs/>
      <w:color w:val="404040" w:themeColor="text1" w:themeTint="BF"/>
    </w:rPr>
  </w:style>
  <w:style w:type="paragraph" w:styleId="ListeParagraf">
    <w:name w:val="List Paragraph"/>
    <w:basedOn w:val="Normal"/>
    <w:uiPriority w:val="34"/>
    <w:qFormat/>
    <w:rsid w:val="00024117"/>
    <w:pPr>
      <w:ind w:left="720"/>
      <w:contextualSpacing/>
    </w:pPr>
  </w:style>
  <w:style w:type="character" w:styleId="GlVurgulama">
    <w:name w:val="Intense Emphasis"/>
    <w:basedOn w:val="VarsaylanParagrafYazTipi"/>
    <w:uiPriority w:val="21"/>
    <w:qFormat/>
    <w:rsid w:val="00024117"/>
    <w:rPr>
      <w:i/>
      <w:iCs/>
      <w:color w:val="2F5496" w:themeColor="accent1" w:themeShade="BF"/>
    </w:rPr>
  </w:style>
  <w:style w:type="paragraph" w:styleId="GlAlnt">
    <w:name w:val="Intense Quote"/>
    <w:basedOn w:val="Normal"/>
    <w:next w:val="Normal"/>
    <w:link w:val="GlAlntChar"/>
    <w:uiPriority w:val="30"/>
    <w:qFormat/>
    <w:rsid w:val="00024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24117"/>
    <w:rPr>
      <w:i/>
      <w:iCs/>
      <w:color w:val="2F5496" w:themeColor="accent1" w:themeShade="BF"/>
    </w:rPr>
  </w:style>
  <w:style w:type="character" w:styleId="GlBavuru">
    <w:name w:val="Intense Reference"/>
    <w:basedOn w:val="VarsaylanParagrafYazTipi"/>
    <w:uiPriority w:val="32"/>
    <w:qFormat/>
    <w:rsid w:val="00024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Dölcü</dc:creator>
  <cp:keywords/>
  <dc:description/>
  <cp:lastModifiedBy>Yasin Sağlam</cp:lastModifiedBy>
  <cp:revision>5</cp:revision>
  <dcterms:created xsi:type="dcterms:W3CDTF">2025-12-22T17:18:00Z</dcterms:created>
  <dcterms:modified xsi:type="dcterms:W3CDTF">2025-12-22T18:24:00Z</dcterms:modified>
</cp:coreProperties>
</file>