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54888" w14:textId="77777777" w:rsidR="00182262" w:rsidRDefault="00182262" w:rsidP="00182262">
      <w:pPr>
        <w:spacing w:before="100" w:beforeAutospacing="1" w:after="100" w:afterAutospacing="1" w:line="252" w:lineRule="auto"/>
        <w:jc w:val="center"/>
        <w:rPr>
          <w:rFonts w:ascii="Tahoma" w:eastAsia="Times New Roman" w:hAnsi="Tahoma" w:cs="Times New Roman"/>
          <w:b/>
          <w:color w:val="008000"/>
        </w:rPr>
      </w:pPr>
      <w:r>
        <w:rPr>
          <w:rFonts w:ascii="Tahoma" w:eastAsia="Times New Roman" w:hAnsi="Tahoma" w:cs="Times New Roman"/>
          <w:b/>
          <w:color w:val="008000"/>
        </w:rPr>
        <w:t>DESTEK YEMİNLİ MALİ MÜŞAVİRLİK</w:t>
      </w:r>
    </w:p>
    <w:p w14:paraId="773C56E1" w14:textId="77777777" w:rsidR="00182262" w:rsidRDefault="00182262" w:rsidP="00182262">
      <w:pPr>
        <w:spacing w:before="100" w:beforeAutospacing="1" w:after="100" w:afterAutospacing="1" w:line="252" w:lineRule="auto"/>
        <w:jc w:val="center"/>
        <w:rPr>
          <w:rFonts w:ascii="Tahoma" w:eastAsia="Times New Roman" w:hAnsi="Tahoma" w:cs="Times New Roman"/>
          <w:b/>
          <w:color w:val="008000"/>
        </w:rPr>
      </w:pPr>
      <w:r>
        <w:rPr>
          <w:rFonts w:ascii="Tahoma" w:eastAsia="Times New Roman" w:hAnsi="Tahoma" w:cs="Times New Roman"/>
          <w:b/>
          <w:color w:val="008000"/>
        </w:rPr>
        <w:t>LİMİTED ŞİRKETİ</w:t>
      </w:r>
    </w:p>
    <w:p w14:paraId="60DDEEE5" w14:textId="77777777" w:rsidR="00182262" w:rsidRDefault="00182262" w:rsidP="00182262">
      <w:pPr>
        <w:spacing w:line="252" w:lineRule="auto"/>
        <w:jc w:val="center"/>
        <w:rPr>
          <w:b/>
          <w:color w:val="008000"/>
        </w:rPr>
      </w:pPr>
      <w:r>
        <w:rPr>
          <w:b/>
          <w:color w:val="008000"/>
        </w:rPr>
        <w:t xml:space="preserve">SAHRAYICEDİT MAH. ATATÜRK CAD. MESA KOZ PLAZA NO:69 K:11 D:146 KADIKÖY/İST. </w:t>
      </w:r>
    </w:p>
    <w:p w14:paraId="3D22BC74" w14:textId="77777777" w:rsidR="00182262" w:rsidRDefault="00182262" w:rsidP="00182262">
      <w:pPr>
        <w:spacing w:line="252" w:lineRule="auto"/>
        <w:jc w:val="center"/>
        <w:rPr>
          <w:b/>
          <w:color w:val="008000"/>
        </w:rPr>
      </w:pPr>
      <w:r>
        <w:rPr>
          <w:b/>
          <w:color w:val="008000"/>
        </w:rPr>
        <w:t>TEL:0 216 759 33 58 pbx</w:t>
      </w:r>
    </w:p>
    <w:p w14:paraId="78A4923E" w14:textId="77777777" w:rsidR="00182262" w:rsidRDefault="00182262" w:rsidP="00182262">
      <w:pPr>
        <w:spacing w:line="252" w:lineRule="auto"/>
        <w:jc w:val="center"/>
        <w:rPr>
          <w:b/>
          <w:color w:val="008000"/>
        </w:rPr>
      </w:pPr>
      <w:r>
        <w:rPr>
          <w:b/>
          <w:color w:val="008000"/>
        </w:rPr>
        <w:t>FAX:0 216 759 49 39</w:t>
      </w:r>
    </w:p>
    <w:tbl>
      <w:tblPr>
        <w:tblW w:w="9681" w:type="dxa"/>
        <w:tblInd w:w="-108" w:type="dxa"/>
        <w:tblCellMar>
          <w:left w:w="70" w:type="dxa"/>
          <w:right w:w="70" w:type="dxa"/>
        </w:tblCellMar>
        <w:tblLook w:val="04A0" w:firstRow="1" w:lastRow="0" w:firstColumn="1" w:lastColumn="0" w:noHBand="0" w:noVBand="1"/>
      </w:tblPr>
      <w:tblGrid>
        <w:gridCol w:w="2689"/>
        <w:gridCol w:w="384"/>
        <w:gridCol w:w="6608"/>
      </w:tblGrid>
      <w:tr w:rsidR="00182262" w14:paraId="665B4B0B" w14:textId="77777777">
        <w:trPr>
          <w:cantSplit/>
          <w:trHeight w:val="247"/>
        </w:trPr>
        <w:tc>
          <w:tcPr>
            <w:tcW w:w="9681" w:type="dxa"/>
            <w:gridSpan w:val="3"/>
            <w:hideMark/>
          </w:tcPr>
          <w:p w14:paraId="5C8B4823" w14:textId="77777777" w:rsidR="00182262" w:rsidRDefault="00182262">
            <w:pPr>
              <w:spacing w:line="252" w:lineRule="auto"/>
              <w:jc w:val="center"/>
              <w:rPr>
                <w:rFonts w:ascii="Times New Roman" w:eastAsia="Times New Roman" w:hAnsi="Times New Roman" w:cs="Times New Roman"/>
              </w:rPr>
            </w:pPr>
            <w:r>
              <w:rPr>
                <w:b/>
                <w:u w:val="single"/>
              </w:rPr>
              <w:t>S   İ   R   K   Ü   L   E   R           R   A   P   O   R          .</w:t>
            </w:r>
          </w:p>
        </w:tc>
      </w:tr>
      <w:tr w:rsidR="00182262" w14:paraId="5096FB0F" w14:textId="77777777">
        <w:trPr>
          <w:cantSplit/>
          <w:trHeight w:val="225"/>
        </w:trPr>
        <w:tc>
          <w:tcPr>
            <w:tcW w:w="9681" w:type="dxa"/>
            <w:gridSpan w:val="3"/>
            <w:hideMark/>
          </w:tcPr>
          <w:p w14:paraId="575AC727" w14:textId="77777777" w:rsidR="00182262" w:rsidRDefault="00182262">
            <w:pPr>
              <w:spacing w:line="252" w:lineRule="auto"/>
              <w:rPr>
                <w:rFonts w:ascii="Times New Roman" w:eastAsia="Times New Roman" w:hAnsi="Times New Roman" w:cs="Times New Roman"/>
              </w:rPr>
            </w:pPr>
            <w:r>
              <w:rPr>
                <w:b/>
              </w:rPr>
              <w:t>Destek YMM  LTD. ŞTİ’nin müşterilerine özel bir hizmetidir. İzinsiz çoğaltılamaz, iktibas edilemez.</w:t>
            </w:r>
          </w:p>
        </w:tc>
      </w:tr>
      <w:tr w:rsidR="00182262" w14:paraId="504ECBBC" w14:textId="77777777">
        <w:trPr>
          <w:trHeight w:val="225"/>
        </w:trPr>
        <w:tc>
          <w:tcPr>
            <w:tcW w:w="2689" w:type="dxa"/>
            <w:hideMark/>
          </w:tcPr>
          <w:p w14:paraId="4B2A4AC3" w14:textId="77777777" w:rsidR="00182262" w:rsidRDefault="00182262">
            <w:pPr>
              <w:spacing w:line="252" w:lineRule="auto"/>
              <w:rPr>
                <w:rFonts w:ascii="Times New Roman" w:eastAsia="Times New Roman" w:hAnsi="Times New Roman" w:cs="Times New Roman"/>
                <w:b/>
              </w:rPr>
            </w:pPr>
            <w:r>
              <w:rPr>
                <w:rFonts w:ascii="Times New Roman" w:hAnsi="Times New Roman" w:cs="Times New Roman"/>
                <w:b/>
              </w:rPr>
              <w:t>SİRKÜLER TARİHİ</w:t>
            </w:r>
          </w:p>
        </w:tc>
        <w:tc>
          <w:tcPr>
            <w:tcW w:w="384" w:type="dxa"/>
            <w:hideMark/>
          </w:tcPr>
          <w:p w14:paraId="3082EC4A" w14:textId="77777777" w:rsidR="00182262" w:rsidRDefault="00182262">
            <w:pPr>
              <w:spacing w:line="252" w:lineRule="auto"/>
              <w:rPr>
                <w:rFonts w:ascii="Times New Roman" w:eastAsia="Times New Roman" w:hAnsi="Times New Roman" w:cs="Times New Roman"/>
                <w:b/>
              </w:rPr>
            </w:pPr>
            <w:r>
              <w:rPr>
                <w:b/>
              </w:rPr>
              <w:t>:</w:t>
            </w:r>
          </w:p>
        </w:tc>
        <w:tc>
          <w:tcPr>
            <w:tcW w:w="6608" w:type="dxa"/>
            <w:hideMark/>
          </w:tcPr>
          <w:p w14:paraId="29AF975E" w14:textId="77777777" w:rsidR="00182262" w:rsidRDefault="00182262">
            <w:pPr>
              <w:spacing w:line="252" w:lineRule="auto"/>
              <w:rPr>
                <w:rFonts w:ascii="Times New Roman" w:eastAsia="Times New Roman" w:hAnsi="Times New Roman" w:cs="Times New Roman"/>
                <w:b/>
              </w:rPr>
            </w:pPr>
            <w:r>
              <w:rPr>
                <w:rFonts w:ascii="Times New Roman" w:hAnsi="Times New Roman" w:cs="Times New Roman"/>
                <w:b/>
              </w:rPr>
              <w:t>01/12/2025</w:t>
            </w:r>
          </w:p>
        </w:tc>
      </w:tr>
      <w:tr w:rsidR="00182262" w14:paraId="3CBF1BCF" w14:textId="77777777">
        <w:trPr>
          <w:trHeight w:val="225"/>
        </w:trPr>
        <w:tc>
          <w:tcPr>
            <w:tcW w:w="2689" w:type="dxa"/>
            <w:hideMark/>
          </w:tcPr>
          <w:p w14:paraId="79EADC49" w14:textId="77777777" w:rsidR="00182262" w:rsidRDefault="00182262">
            <w:pPr>
              <w:spacing w:line="252" w:lineRule="auto"/>
              <w:rPr>
                <w:rFonts w:ascii="Times New Roman" w:eastAsia="Times New Roman" w:hAnsi="Times New Roman" w:cs="Times New Roman"/>
                <w:b/>
              </w:rPr>
            </w:pPr>
            <w:r>
              <w:rPr>
                <w:rFonts w:ascii="Times New Roman" w:hAnsi="Times New Roman" w:cs="Times New Roman"/>
                <w:b/>
              </w:rPr>
              <w:t>SİRKÜLER SAYI</w:t>
            </w:r>
          </w:p>
        </w:tc>
        <w:tc>
          <w:tcPr>
            <w:tcW w:w="384" w:type="dxa"/>
            <w:hideMark/>
          </w:tcPr>
          <w:p w14:paraId="4211D96D" w14:textId="77777777" w:rsidR="00182262" w:rsidRDefault="00182262">
            <w:pPr>
              <w:spacing w:line="252" w:lineRule="auto"/>
              <w:rPr>
                <w:rFonts w:ascii="Times New Roman" w:eastAsia="Times New Roman" w:hAnsi="Times New Roman" w:cs="Times New Roman"/>
                <w:b/>
              </w:rPr>
            </w:pPr>
            <w:r>
              <w:rPr>
                <w:b/>
              </w:rPr>
              <w:t>:</w:t>
            </w:r>
          </w:p>
        </w:tc>
        <w:tc>
          <w:tcPr>
            <w:tcW w:w="6608" w:type="dxa"/>
            <w:hideMark/>
          </w:tcPr>
          <w:p w14:paraId="41CEFCA5" w14:textId="3C18C949" w:rsidR="00182262" w:rsidRDefault="00182262">
            <w:pPr>
              <w:spacing w:line="252" w:lineRule="auto"/>
              <w:rPr>
                <w:rFonts w:ascii="Times New Roman" w:eastAsia="Times New Roman" w:hAnsi="Times New Roman" w:cs="Times New Roman"/>
                <w:b/>
              </w:rPr>
            </w:pPr>
            <w:r>
              <w:rPr>
                <w:rFonts w:ascii="Times New Roman" w:hAnsi="Times New Roman" w:cs="Times New Roman"/>
                <w:b/>
              </w:rPr>
              <w:t>2025/16</w:t>
            </w:r>
            <w:r w:rsidR="00BC61C5">
              <w:rPr>
                <w:rFonts w:ascii="Times New Roman" w:hAnsi="Times New Roman" w:cs="Times New Roman"/>
                <w:b/>
              </w:rPr>
              <w:t>5</w:t>
            </w:r>
          </w:p>
        </w:tc>
      </w:tr>
      <w:tr w:rsidR="00182262" w14:paraId="5BDA227F" w14:textId="77777777">
        <w:trPr>
          <w:trHeight w:val="642"/>
        </w:trPr>
        <w:tc>
          <w:tcPr>
            <w:tcW w:w="2689" w:type="dxa"/>
            <w:hideMark/>
          </w:tcPr>
          <w:p w14:paraId="0A9AB430" w14:textId="77777777" w:rsidR="00182262" w:rsidRDefault="00182262">
            <w:pPr>
              <w:spacing w:line="252" w:lineRule="auto"/>
              <w:rPr>
                <w:rFonts w:ascii="Times New Roman" w:eastAsia="Times New Roman" w:hAnsi="Times New Roman" w:cs="Times New Roman"/>
                <w:b/>
                <w:sz w:val="24"/>
                <w:szCs w:val="24"/>
              </w:rPr>
            </w:pPr>
            <w:r>
              <w:rPr>
                <w:rFonts w:ascii="Times New Roman" w:hAnsi="Times New Roman" w:cs="Times New Roman"/>
                <w:b/>
                <w:sz w:val="24"/>
                <w:szCs w:val="24"/>
              </w:rPr>
              <w:t>KONU</w:t>
            </w:r>
          </w:p>
        </w:tc>
        <w:tc>
          <w:tcPr>
            <w:tcW w:w="384" w:type="dxa"/>
            <w:hideMark/>
          </w:tcPr>
          <w:p w14:paraId="6BFF3CB3" w14:textId="77777777" w:rsidR="00182262" w:rsidRDefault="00182262">
            <w:pPr>
              <w:spacing w:line="252" w:lineRule="auto"/>
              <w:rPr>
                <w:rFonts w:ascii="Times New Roman" w:eastAsia="Times New Roman" w:hAnsi="Times New Roman" w:cs="Times New Roman"/>
                <w:b/>
                <w:sz w:val="24"/>
                <w:szCs w:val="24"/>
              </w:rPr>
            </w:pPr>
            <w:r>
              <w:rPr>
                <w:rFonts w:ascii="Times New Roman" w:hAnsi="Times New Roman" w:cs="Times New Roman"/>
                <w:b/>
                <w:sz w:val="24"/>
                <w:szCs w:val="24"/>
              </w:rPr>
              <w:t>:</w:t>
            </w:r>
          </w:p>
        </w:tc>
        <w:tc>
          <w:tcPr>
            <w:tcW w:w="6608" w:type="dxa"/>
            <w:vAlign w:val="center"/>
            <w:hideMark/>
          </w:tcPr>
          <w:p w14:paraId="491B3769" w14:textId="77777777" w:rsidR="00BC61C5" w:rsidRPr="00BC61C5" w:rsidRDefault="00BC61C5" w:rsidP="00BC61C5">
            <w:pPr>
              <w:jc w:val="both"/>
              <w:rPr>
                <w:rFonts w:ascii="Times New Roman" w:hAnsi="Times New Roman" w:cs="Times New Roman"/>
                <w:b/>
                <w:bCs/>
                <w:sz w:val="24"/>
                <w:szCs w:val="24"/>
              </w:rPr>
            </w:pPr>
            <w:r w:rsidRPr="00BC61C5">
              <w:rPr>
                <w:rFonts w:ascii="Times New Roman" w:hAnsi="Times New Roman" w:cs="Times New Roman"/>
                <w:b/>
                <w:bCs/>
                <w:sz w:val="24"/>
                <w:szCs w:val="24"/>
              </w:rPr>
              <w:t xml:space="preserve">2025 Yılı Yeniden Değerleme Oranı % 25,49 Olarak Belirlendi </w:t>
            </w:r>
          </w:p>
          <w:p w14:paraId="39C87FC3" w14:textId="3217761E" w:rsidR="00182262" w:rsidRDefault="00182262">
            <w:pPr>
              <w:jc w:val="both"/>
              <w:rPr>
                <w:rFonts w:ascii="Times New Roman" w:hAnsi="Times New Roman" w:cs="Times New Roman"/>
                <w:b/>
                <w:bCs/>
                <w:sz w:val="24"/>
                <w:szCs w:val="24"/>
              </w:rPr>
            </w:pPr>
          </w:p>
        </w:tc>
      </w:tr>
    </w:tbl>
    <w:p w14:paraId="534A703C" w14:textId="77777777" w:rsidR="00BC61C5" w:rsidRDefault="00182262" w:rsidP="00BC61C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182262">
        <w:rPr>
          <w:rFonts w:ascii="Times New Roman" w:hAnsi="Times New Roman" w:cs="Times New Roman"/>
          <w:sz w:val="24"/>
          <w:szCs w:val="24"/>
        </w:rPr>
        <w:t>ÖZET</w:t>
      </w:r>
      <w:r w:rsidR="00BC61C5">
        <w:rPr>
          <w:rFonts w:ascii="Times New Roman" w:hAnsi="Times New Roman" w:cs="Times New Roman"/>
          <w:sz w:val="24"/>
          <w:szCs w:val="24"/>
        </w:rPr>
        <w:t>:</w:t>
      </w:r>
    </w:p>
    <w:p w14:paraId="4213FD98" w14:textId="77777777" w:rsidR="00BC61C5" w:rsidRDefault="00182262" w:rsidP="00BC61C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182262">
        <w:rPr>
          <w:rFonts w:ascii="Times New Roman" w:hAnsi="Times New Roman" w:cs="Times New Roman"/>
          <w:sz w:val="24"/>
          <w:szCs w:val="24"/>
        </w:rPr>
        <w:t xml:space="preserve">585 No’lu VUK Genel Tebliği ile 2025 yılı için yeniden değerleme oranı % 25,49 (yirmi beş virgül kırk dokuz) olarak belirlendi. </w:t>
      </w:r>
    </w:p>
    <w:p w14:paraId="5EBA5A5D" w14:textId="1B485C92" w:rsidR="00182262" w:rsidRDefault="00182262" w:rsidP="00182262">
      <w:pPr>
        <w:jc w:val="both"/>
        <w:rPr>
          <w:rFonts w:ascii="Times New Roman" w:hAnsi="Times New Roman" w:cs="Times New Roman"/>
          <w:sz w:val="24"/>
          <w:szCs w:val="24"/>
        </w:rPr>
      </w:pPr>
      <w:r w:rsidRPr="00182262">
        <w:rPr>
          <w:rFonts w:ascii="Times New Roman" w:hAnsi="Times New Roman" w:cs="Times New Roman"/>
          <w:sz w:val="24"/>
          <w:szCs w:val="24"/>
        </w:rPr>
        <w:t>Hazine ve Maliye Bakanlığınca çıkarılan ve 27.11.2025 tarihli ve 33090 sayılı Resmi Gazete’de yayımlanan 585 Seri No’lu Vergi Usul Kanunu Genel Tebliği’nde, yeniden değerleme oranı 2025 yılı için % 25,49 (yirmi beş virgül kırk dokuz) olarak tespit edildi. Yeniden değerleme oranları yıllar itibariyle aşağıdaki gibidir.</w:t>
      </w:r>
    </w:p>
    <w:p w14:paraId="1E996538" w14:textId="1B692AA2" w:rsidR="00182262" w:rsidRPr="00182262" w:rsidRDefault="00182262" w:rsidP="00182262">
      <w:pPr>
        <w:jc w:val="both"/>
        <w:rPr>
          <w:rFonts w:ascii="Times New Roman" w:hAnsi="Times New Roman" w:cs="Times New Roman"/>
          <w:sz w:val="24"/>
          <w:szCs w:val="24"/>
        </w:rPr>
      </w:pPr>
      <w:r w:rsidRPr="00182262">
        <w:rPr>
          <w:rFonts w:ascii="Times New Roman" w:hAnsi="Times New Roman" w:cs="Times New Roman"/>
          <w:sz w:val="24"/>
          <w:szCs w:val="24"/>
        </w:rPr>
        <w:t>Yeniden değerleme oranları yıllar itibariyle aşağıdaki gibidir.</w:t>
      </w:r>
      <w:r w:rsidRPr="00182262">
        <w:rPr>
          <w:rFonts w:ascii="Times New Roman" w:hAnsi="Times New Roman" w:cs="Times New Roman"/>
          <w:sz w:val="24"/>
          <w:szCs w:val="24"/>
        </w:rPr>
        <w:t xml:space="preserve"> (2020 – 2025 Yılları)</w:t>
      </w:r>
    </w:p>
    <w:p w14:paraId="0BF7114B" w14:textId="77777777" w:rsidR="00182262" w:rsidRPr="00182262" w:rsidRDefault="00182262" w:rsidP="00182262">
      <w:pPr>
        <w:jc w:val="both"/>
        <w:rPr>
          <w:rFonts w:ascii="Times New Roman" w:hAnsi="Times New Roman" w:cs="Times New Roman"/>
          <w:sz w:val="24"/>
          <w:szCs w:val="24"/>
        </w:rPr>
      </w:pPr>
    </w:p>
    <w:tbl>
      <w:tblPr>
        <w:tblStyle w:val="TabloKlavuzu"/>
        <w:tblW w:w="0" w:type="auto"/>
        <w:tblInd w:w="562" w:type="dxa"/>
        <w:tblLook w:val="04A0" w:firstRow="1" w:lastRow="0" w:firstColumn="1" w:lastColumn="0" w:noHBand="0" w:noVBand="1"/>
      </w:tblPr>
      <w:tblGrid>
        <w:gridCol w:w="2458"/>
        <w:gridCol w:w="3021"/>
        <w:gridCol w:w="2318"/>
      </w:tblGrid>
      <w:tr w:rsidR="00182262" w:rsidRPr="00182262" w14:paraId="0DAC18C1" w14:textId="77777777" w:rsidTr="00182262">
        <w:tc>
          <w:tcPr>
            <w:tcW w:w="7797" w:type="dxa"/>
            <w:gridSpan w:val="3"/>
          </w:tcPr>
          <w:p w14:paraId="5730FECE" w14:textId="3FFAF05C" w:rsidR="00182262" w:rsidRPr="00182262" w:rsidRDefault="00182262" w:rsidP="00182262">
            <w:pPr>
              <w:jc w:val="center"/>
              <w:rPr>
                <w:rFonts w:ascii="Times New Roman" w:hAnsi="Times New Roman" w:cs="Times New Roman"/>
                <w:b/>
                <w:bCs/>
                <w:sz w:val="24"/>
                <w:szCs w:val="24"/>
              </w:rPr>
            </w:pPr>
            <w:r w:rsidRPr="00182262">
              <w:rPr>
                <w:rFonts w:ascii="Times New Roman" w:hAnsi="Times New Roman" w:cs="Times New Roman"/>
                <w:b/>
                <w:bCs/>
                <w:sz w:val="24"/>
                <w:szCs w:val="24"/>
              </w:rPr>
              <w:t>YENİDEN DEĞERLEME ORANLARI</w:t>
            </w:r>
          </w:p>
        </w:tc>
      </w:tr>
      <w:tr w:rsidR="00182262" w:rsidRPr="00182262" w14:paraId="63FB9958" w14:textId="77777777" w:rsidTr="00182262">
        <w:tc>
          <w:tcPr>
            <w:tcW w:w="2458" w:type="dxa"/>
          </w:tcPr>
          <w:p w14:paraId="1E3E5784" w14:textId="4B0F0EB6" w:rsidR="00182262" w:rsidRPr="00182262" w:rsidRDefault="00182262" w:rsidP="00182262">
            <w:pPr>
              <w:jc w:val="both"/>
              <w:rPr>
                <w:rFonts w:ascii="Times New Roman" w:hAnsi="Times New Roman" w:cs="Times New Roman"/>
                <w:sz w:val="24"/>
                <w:szCs w:val="24"/>
              </w:rPr>
            </w:pPr>
            <w:r w:rsidRPr="00182262">
              <w:rPr>
                <w:rFonts w:ascii="Times New Roman" w:hAnsi="Times New Roman" w:cs="Times New Roman"/>
                <w:b/>
                <w:bCs/>
                <w:sz w:val="24"/>
                <w:szCs w:val="24"/>
              </w:rPr>
              <w:t>Yıllar</w:t>
            </w:r>
          </w:p>
        </w:tc>
        <w:tc>
          <w:tcPr>
            <w:tcW w:w="3021" w:type="dxa"/>
          </w:tcPr>
          <w:p w14:paraId="58B02DA8" w14:textId="1D2872A5" w:rsidR="00182262" w:rsidRPr="00182262" w:rsidRDefault="00182262" w:rsidP="00182262">
            <w:pPr>
              <w:jc w:val="center"/>
              <w:rPr>
                <w:rFonts w:ascii="Times New Roman" w:hAnsi="Times New Roman" w:cs="Times New Roman"/>
                <w:b/>
                <w:bCs/>
                <w:sz w:val="24"/>
                <w:szCs w:val="24"/>
              </w:rPr>
            </w:pPr>
            <w:r w:rsidRPr="00182262">
              <w:rPr>
                <w:rFonts w:ascii="Times New Roman" w:hAnsi="Times New Roman" w:cs="Times New Roman"/>
                <w:b/>
                <w:bCs/>
                <w:sz w:val="24"/>
                <w:szCs w:val="24"/>
              </w:rPr>
              <w:t>Oranın Belirlendiği V.U.K. Genel Tebliği Sıra No</w:t>
            </w:r>
          </w:p>
        </w:tc>
        <w:tc>
          <w:tcPr>
            <w:tcW w:w="2318" w:type="dxa"/>
          </w:tcPr>
          <w:p w14:paraId="79D4638A" w14:textId="51F046F9" w:rsidR="00182262" w:rsidRPr="00182262" w:rsidRDefault="00182262" w:rsidP="00182262">
            <w:pPr>
              <w:jc w:val="center"/>
              <w:rPr>
                <w:rFonts w:ascii="Times New Roman" w:hAnsi="Times New Roman" w:cs="Times New Roman"/>
                <w:b/>
                <w:bCs/>
                <w:sz w:val="24"/>
                <w:szCs w:val="24"/>
              </w:rPr>
            </w:pPr>
            <w:r w:rsidRPr="00182262">
              <w:rPr>
                <w:rFonts w:ascii="Times New Roman" w:hAnsi="Times New Roman" w:cs="Times New Roman"/>
                <w:b/>
                <w:bCs/>
                <w:sz w:val="24"/>
                <w:szCs w:val="24"/>
              </w:rPr>
              <w:t>Oran (%)</w:t>
            </w:r>
          </w:p>
        </w:tc>
      </w:tr>
      <w:tr w:rsidR="00182262" w:rsidRPr="00182262" w14:paraId="44D19912" w14:textId="77777777" w:rsidTr="00182262">
        <w:tc>
          <w:tcPr>
            <w:tcW w:w="2458" w:type="dxa"/>
          </w:tcPr>
          <w:p w14:paraId="4636BAAE" w14:textId="707F3501" w:rsidR="00182262" w:rsidRPr="00182262" w:rsidRDefault="00182262" w:rsidP="00182262">
            <w:pPr>
              <w:jc w:val="center"/>
              <w:rPr>
                <w:rFonts w:ascii="Times New Roman" w:hAnsi="Times New Roman" w:cs="Times New Roman"/>
                <w:b/>
                <w:bCs/>
                <w:sz w:val="24"/>
                <w:szCs w:val="24"/>
              </w:rPr>
            </w:pPr>
            <w:r w:rsidRPr="00182262">
              <w:rPr>
                <w:rFonts w:ascii="Times New Roman" w:hAnsi="Times New Roman" w:cs="Times New Roman"/>
                <w:b/>
                <w:bCs/>
                <w:sz w:val="24"/>
                <w:szCs w:val="24"/>
              </w:rPr>
              <w:t>2025</w:t>
            </w:r>
          </w:p>
        </w:tc>
        <w:tc>
          <w:tcPr>
            <w:tcW w:w="3021" w:type="dxa"/>
          </w:tcPr>
          <w:p w14:paraId="3CA48CC3" w14:textId="17611F39" w:rsidR="00182262" w:rsidRPr="00182262" w:rsidRDefault="00182262" w:rsidP="00182262">
            <w:pPr>
              <w:jc w:val="center"/>
              <w:rPr>
                <w:rFonts w:ascii="Times New Roman" w:hAnsi="Times New Roman" w:cs="Times New Roman"/>
                <w:b/>
                <w:bCs/>
                <w:sz w:val="24"/>
                <w:szCs w:val="24"/>
              </w:rPr>
            </w:pPr>
            <w:r w:rsidRPr="00182262">
              <w:rPr>
                <w:rFonts w:ascii="Times New Roman" w:hAnsi="Times New Roman" w:cs="Times New Roman"/>
                <w:b/>
                <w:bCs/>
                <w:sz w:val="24"/>
                <w:szCs w:val="24"/>
              </w:rPr>
              <w:t>585</w:t>
            </w:r>
          </w:p>
        </w:tc>
        <w:tc>
          <w:tcPr>
            <w:tcW w:w="2318" w:type="dxa"/>
          </w:tcPr>
          <w:p w14:paraId="0FB8EFBB" w14:textId="16436B81" w:rsidR="00182262" w:rsidRPr="00182262" w:rsidRDefault="00182262" w:rsidP="00182262">
            <w:pPr>
              <w:jc w:val="center"/>
              <w:rPr>
                <w:rFonts w:ascii="Times New Roman" w:hAnsi="Times New Roman" w:cs="Times New Roman"/>
                <w:b/>
                <w:bCs/>
                <w:sz w:val="24"/>
                <w:szCs w:val="24"/>
              </w:rPr>
            </w:pPr>
            <w:r w:rsidRPr="00182262">
              <w:rPr>
                <w:rFonts w:ascii="Times New Roman" w:hAnsi="Times New Roman" w:cs="Times New Roman"/>
                <w:b/>
                <w:bCs/>
                <w:sz w:val="24"/>
                <w:szCs w:val="24"/>
              </w:rPr>
              <w:t>25,49</w:t>
            </w:r>
          </w:p>
        </w:tc>
      </w:tr>
      <w:tr w:rsidR="00182262" w:rsidRPr="00182262" w14:paraId="18B45CC9" w14:textId="77777777" w:rsidTr="00182262">
        <w:tc>
          <w:tcPr>
            <w:tcW w:w="2458" w:type="dxa"/>
          </w:tcPr>
          <w:p w14:paraId="37EA33F6" w14:textId="5D93EFD0" w:rsidR="00182262" w:rsidRPr="00182262" w:rsidRDefault="00182262" w:rsidP="00182262">
            <w:pPr>
              <w:jc w:val="center"/>
              <w:rPr>
                <w:rFonts w:ascii="Times New Roman" w:hAnsi="Times New Roman" w:cs="Times New Roman"/>
                <w:sz w:val="24"/>
                <w:szCs w:val="24"/>
              </w:rPr>
            </w:pPr>
            <w:r w:rsidRPr="00182262">
              <w:rPr>
                <w:rFonts w:ascii="Times New Roman" w:hAnsi="Times New Roman" w:cs="Times New Roman"/>
                <w:sz w:val="24"/>
                <w:szCs w:val="24"/>
              </w:rPr>
              <w:t>2024</w:t>
            </w:r>
          </w:p>
        </w:tc>
        <w:tc>
          <w:tcPr>
            <w:tcW w:w="3021" w:type="dxa"/>
          </w:tcPr>
          <w:p w14:paraId="2ED837D7" w14:textId="5FDDF927" w:rsidR="00182262" w:rsidRPr="00182262" w:rsidRDefault="00182262" w:rsidP="00182262">
            <w:pPr>
              <w:jc w:val="center"/>
              <w:rPr>
                <w:rFonts w:ascii="Times New Roman" w:hAnsi="Times New Roman" w:cs="Times New Roman"/>
                <w:sz w:val="24"/>
                <w:szCs w:val="24"/>
              </w:rPr>
            </w:pPr>
            <w:r w:rsidRPr="00182262">
              <w:rPr>
                <w:rFonts w:ascii="Times New Roman" w:hAnsi="Times New Roman" w:cs="Times New Roman"/>
                <w:sz w:val="24"/>
                <w:szCs w:val="24"/>
              </w:rPr>
              <w:t>574</w:t>
            </w:r>
          </w:p>
        </w:tc>
        <w:tc>
          <w:tcPr>
            <w:tcW w:w="2318" w:type="dxa"/>
          </w:tcPr>
          <w:p w14:paraId="37E2F3EB" w14:textId="11FC7781" w:rsidR="00182262" w:rsidRPr="00182262" w:rsidRDefault="00182262" w:rsidP="00182262">
            <w:pPr>
              <w:jc w:val="center"/>
              <w:rPr>
                <w:rFonts w:ascii="Times New Roman" w:hAnsi="Times New Roman" w:cs="Times New Roman"/>
                <w:sz w:val="24"/>
                <w:szCs w:val="24"/>
              </w:rPr>
            </w:pPr>
            <w:r w:rsidRPr="00182262">
              <w:rPr>
                <w:rFonts w:ascii="Times New Roman" w:hAnsi="Times New Roman" w:cs="Times New Roman"/>
                <w:sz w:val="24"/>
                <w:szCs w:val="24"/>
              </w:rPr>
              <w:t>43,93</w:t>
            </w:r>
          </w:p>
        </w:tc>
      </w:tr>
      <w:tr w:rsidR="00182262" w:rsidRPr="00182262" w14:paraId="21215E4B" w14:textId="77777777" w:rsidTr="00182262">
        <w:tc>
          <w:tcPr>
            <w:tcW w:w="2458" w:type="dxa"/>
          </w:tcPr>
          <w:p w14:paraId="5A583966" w14:textId="166BF9C3" w:rsidR="00182262" w:rsidRPr="00182262" w:rsidRDefault="00182262" w:rsidP="00182262">
            <w:pPr>
              <w:jc w:val="center"/>
              <w:rPr>
                <w:rFonts w:ascii="Times New Roman" w:hAnsi="Times New Roman" w:cs="Times New Roman"/>
                <w:sz w:val="24"/>
                <w:szCs w:val="24"/>
              </w:rPr>
            </w:pPr>
            <w:r w:rsidRPr="00182262">
              <w:rPr>
                <w:rFonts w:ascii="Times New Roman" w:hAnsi="Times New Roman" w:cs="Times New Roman"/>
                <w:sz w:val="24"/>
                <w:szCs w:val="24"/>
              </w:rPr>
              <w:t>2023</w:t>
            </w:r>
          </w:p>
        </w:tc>
        <w:tc>
          <w:tcPr>
            <w:tcW w:w="3021" w:type="dxa"/>
          </w:tcPr>
          <w:p w14:paraId="059EE89B" w14:textId="537B18FB" w:rsidR="00182262" w:rsidRPr="00182262" w:rsidRDefault="00182262" w:rsidP="00182262">
            <w:pPr>
              <w:jc w:val="center"/>
              <w:rPr>
                <w:rFonts w:ascii="Times New Roman" w:hAnsi="Times New Roman" w:cs="Times New Roman"/>
                <w:sz w:val="24"/>
                <w:szCs w:val="24"/>
              </w:rPr>
            </w:pPr>
            <w:r w:rsidRPr="00182262">
              <w:rPr>
                <w:rFonts w:ascii="Times New Roman" w:hAnsi="Times New Roman" w:cs="Times New Roman"/>
                <w:sz w:val="24"/>
                <w:szCs w:val="24"/>
              </w:rPr>
              <w:t>554</w:t>
            </w:r>
          </w:p>
        </w:tc>
        <w:tc>
          <w:tcPr>
            <w:tcW w:w="2318" w:type="dxa"/>
          </w:tcPr>
          <w:p w14:paraId="3C4E4106" w14:textId="77B9E34C" w:rsidR="00182262" w:rsidRPr="00182262" w:rsidRDefault="00182262" w:rsidP="00182262">
            <w:pPr>
              <w:jc w:val="center"/>
              <w:rPr>
                <w:rFonts w:ascii="Times New Roman" w:hAnsi="Times New Roman" w:cs="Times New Roman"/>
                <w:sz w:val="24"/>
                <w:szCs w:val="24"/>
              </w:rPr>
            </w:pPr>
            <w:r w:rsidRPr="00182262">
              <w:rPr>
                <w:rFonts w:ascii="Times New Roman" w:hAnsi="Times New Roman" w:cs="Times New Roman"/>
                <w:sz w:val="24"/>
                <w:szCs w:val="24"/>
              </w:rPr>
              <w:t>58,46</w:t>
            </w:r>
          </w:p>
        </w:tc>
      </w:tr>
      <w:tr w:rsidR="00182262" w:rsidRPr="00182262" w14:paraId="24CC900E" w14:textId="77777777" w:rsidTr="00182262">
        <w:trPr>
          <w:trHeight w:val="124"/>
        </w:trPr>
        <w:tc>
          <w:tcPr>
            <w:tcW w:w="2458" w:type="dxa"/>
          </w:tcPr>
          <w:p w14:paraId="182B384B" w14:textId="0D3EE152" w:rsidR="00182262" w:rsidRPr="00182262" w:rsidRDefault="00182262" w:rsidP="00182262">
            <w:pPr>
              <w:jc w:val="center"/>
              <w:rPr>
                <w:rFonts w:ascii="Times New Roman" w:hAnsi="Times New Roman" w:cs="Times New Roman"/>
                <w:sz w:val="24"/>
                <w:szCs w:val="24"/>
              </w:rPr>
            </w:pPr>
            <w:r w:rsidRPr="00182262">
              <w:rPr>
                <w:rFonts w:ascii="Times New Roman" w:hAnsi="Times New Roman" w:cs="Times New Roman"/>
                <w:sz w:val="24"/>
                <w:szCs w:val="24"/>
              </w:rPr>
              <w:t>2022</w:t>
            </w:r>
          </w:p>
        </w:tc>
        <w:tc>
          <w:tcPr>
            <w:tcW w:w="3021" w:type="dxa"/>
          </w:tcPr>
          <w:p w14:paraId="4D1B4EF1" w14:textId="285936F8" w:rsidR="00182262" w:rsidRPr="00182262" w:rsidRDefault="00182262" w:rsidP="00182262">
            <w:pPr>
              <w:jc w:val="center"/>
              <w:rPr>
                <w:rFonts w:ascii="Times New Roman" w:hAnsi="Times New Roman" w:cs="Times New Roman"/>
                <w:sz w:val="24"/>
                <w:szCs w:val="24"/>
              </w:rPr>
            </w:pPr>
            <w:r w:rsidRPr="00182262">
              <w:rPr>
                <w:rFonts w:ascii="Times New Roman" w:hAnsi="Times New Roman" w:cs="Times New Roman"/>
                <w:sz w:val="24"/>
                <w:szCs w:val="24"/>
              </w:rPr>
              <w:t>542</w:t>
            </w:r>
          </w:p>
        </w:tc>
        <w:tc>
          <w:tcPr>
            <w:tcW w:w="2318" w:type="dxa"/>
          </w:tcPr>
          <w:p w14:paraId="2BB04825" w14:textId="2C39790A" w:rsidR="00182262" w:rsidRPr="00182262" w:rsidRDefault="00182262" w:rsidP="00182262">
            <w:pPr>
              <w:jc w:val="center"/>
              <w:rPr>
                <w:rFonts w:ascii="Times New Roman" w:hAnsi="Times New Roman" w:cs="Times New Roman"/>
                <w:sz w:val="24"/>
                <w:szCs w:val="24"/>
              </w:rPr>
            </w:pPr>
            <w:r w:rsidRPr="00182262">
              <w:rPr>
                <w:rFonts w:ascii="Times New Roman" w:hAnsi="Times New Roman" w:cs="Times New Roman"/>
                <w:sz w:val="24"/>
                <w:szCs w:val="24"/>
              </w:rPr>
              <w:t>122,93</w:t>
            </w:r>
          </w:p>
        </w:tc>
      </w:tr>
      <w:tr w:rsidR="00182262" w:rsidRPr="00182262" w14:paraId="5525112C" w14:textId="77777777" w:rsidTr="00182262">
        <w:trPr>
          <w:trHeight w:val="124"/>
        </w:trPr>
        <w:tc>
          <w:tcPr>
            <w:tcW w:w="2458" w:type="dxa"/>
          </w:tcPr>
          <w:p w14:paraId="4331FBB0" w14:textId="781A6C09" w:rsidR="00182262" w:rsidRPr="00182262" w:rsidRDefault="00182262" w:rsidP="00182262">
            <w:pPr>
              <w:jc w:val="center"/>
              <w:rPr>
                <w:rFonts w:ascii="Times New Roman" w:hAnsi="Times New Roman" w:cs="Times New Roman"/>
                <w:sz w:val="24"/>
                <w:szCs w:val="24"/>
              </w:rPr>
            </w:pPr>
            <w:r w:rsidRPr="00182262">
              <w:rPr>
                <w:rFonts w:ascii="Times New Roman" w:hAnsi="Times New Roman" w:cs="Times New Roman"/>
                <w:sz w:val="24"/>
                <w:szCs w:val="24"/>
              </w:rPr>
              <w:t>2021</w:t>
            </w:r>
          </w:p>
        </w:tc>
        <w:tc>
          <w:tcPr>
            <w:tcW w:w="3021" w:type="dxa"/>
          </w:tcPr>
          <w:p w14:paraId="6F915E82" w14:textId="3B6FE01D" w:rsidR="00182262" w:rsidRPr="00182262" w:rsidRDefault="00182262" w:rsidP="00182262">
            <w:pPr>
              <w:jc w:val="center"/>
              <w:rPr>
                <w:rFonts w:ascii="Times New Roman" w:hAnsi="Times New Roman" w:cs="Times New Roman"/>
                <w:sz w:val="24"/>
                <w:szCs w:val="24"/>
              </w:rPr>
            </w:pPr>
            <w:r w:rsidRPr="00182262">
              <w:rPr>
                <w:rFonts w:ascii="Times New Roman" w:hAnsi="Times New Roman" w:cs="Times New Roman"/>
                <w:sz w:val="24"/>
                <w:szCs w:val="24"/>
              </w:rPr>
              <w:t>533</w:t>
            </w:r>
          </w:p>
        </w:tc>
        <w:tc>
          <w:tcPr>
            <w:tcW w:w="2318" w:type="dxa"/>
          </w:tcPr>
          <w:p w14:paraId="36E39DAF" w14:textId="2260852D" w:rsidR="00182262" w:rsidRPr="00182262" w:rsidRDefault="00182262" w:rsidP="00182262">
            <w:pPr>
              <w:jc w:val="center"/>
              <w:rPr>
                <w:rFonts w:ascii="Times New Roman" w:hAnsi="Times New Roman" w:cs="Times New Roman"/>
                <w:sz w:val="24"/>
                <w:szCs w:val="24"/>
              </w:rPr>
            </w:pPr>
            <w:r w:rsidRPr="00182262">
              <w:rPr>
                <w:rFonts w:ascii="Times New Roman" w:hAnsi="Times New Roman" w:cs="Times New Roman"/>
                <w:sz w:val="24"/>
                <w:szCs w:val="24"/>
              </w:rPr>
              <w:t>36,20</w:t>
            </w:r>
          </w:p>
        </w:tc>
      </w:tr>
      <w:tr w:rsidR="00182262" w:rsidRPr="00182262" w14:paraId="6210F5E3" w14:textId="77777777" w:rsidTr="00182262">
        <w:trPr>
          <w:trHeight w:val="124"/>
        </w:trPr>
        <w:tc>
          <w:tcPr>
            <w:tcW w:w="2458" w:type="dxa"/>
          </w:tcPr>
          <w:p w14:paraId="0A10B395" w14:textId="160AE86B" w:rsidR="00182262" w:rsidRPr="00182262" w:rsidRDefault="00182262" w:rsidP="00182262">
            <w:pPr>
              <w:jc w:val="center"/>
              <w:rPr>
                <w:rFonts w:ascii="Times New Roman" w:hAnsi="Times New Roman" w:cs="Times New Roman"/>
                <w:sz w:val="24"/>
                <w:szCs w:val="24"/>
              </w:rPr>
            </w:pPr>
            <w:r w:rsidRPr="00182262">
              <w:rPr>
                <w:rFonts w:ascii="Times New Roman" w:hAnsi="Times New Roman" w:cs="Times New Roman"/>
                <w:sz w:val="24"/>
                <w:szCs w:val="24"/>
              </w:rPr>
              <w:t>2020</w:t>
            </w:r>
          </w:p>
        </w:tc>
        <w:tc>
          <w:tcPr>
            <w:tcW w:w="3021" w:type="dxa"/>
          </w:tcPr>
          <w:p w14:paraId="3DC61280" w14:textId="785442FE" w:rsidR="00182262" w:rsidRPr="00182262" w:rsidRDefault="00182262" w:rsidP="00182262">
            <w:pPr>
              <w:jc w:val="center"/>
              <w:rPr>
                <w:rFonts w:ascii="Times New Roman" w:hAnsi="Times New Roman" w:cs="Times New Roman"/>
                <w:sz w:val="24"/>
                <w:szCs w:val="24"/>
              </w:rPr>
            </w:pPr>
            <w:r w:rsidRPr="00182262">
              <w:rPr>
                <w:rFonts w:ascii="Times New Roman" w:hAnsi="Times New Roman" w:cs="Times New Roman"/>
                <w:sz w:val="24"/>
                <w:szCs w:val="24"/>
              </w:rPr>
              <w:t>521</w:t>
            </w:r>
          </w:p>
        </w:tc>
        <w:tc>
          <w:tcPr>
            <w:tcW w:w="2318" w:type="dxa"/>
          </w:tcPr>
          <w:p w14:paraId="72C09B41" w14:textId="36FF37A8" w:rsidR="00182262" w:rsidRPr="00182262" w:rsidRDefault="00182262" w:rsidP="00182262">
            <w:pPr>
              <w:jc w:val="center"/>
              <w:rPr>
                <w:rFonts w:ascii="Times New Roman" w:hAnsi="Times New Roman" w:cs="Times New Roman"/>
                <w:sz w:val="24"/>
                <w:szCs w:val="24"/>
              </w:rPr>
            </w:pPr>
            <w:r w:rsidRPr="00182262">
              <w:rPr>
                <w:rFonts w:ascii="Times New Roman" w:hAnsi="Times New Roman" w:cs="Times New Roman"/>
                <w:sz w:val="24"/>
                <w:szCs w:val="24"/>
              </w:rPr>
              <w:t>9,11</w:t>
            </w:r>
          </w:p>
        </w:tc>
      </w:tr>
    </w:tbl>
    <w:p w14:paraId="7B129EBD" w14:textId="77777777" w:rsidR="00182262" w:rsidRDefault="00182262" w:rsidP="00182262">
      <w:pPr>
        <w:jc w:val="both"/>
        <w:rPr>
          <w:rFonts w:ascii="Times New Roman" w:hAnsi="Times New Roman" w:cs="Times New Roman"/>
          <w:sz w:val="24"/>
          <w:szCs w:val="24"/>
        </w:rPr>
      </w:pPr>
    </w:p>
    <w:p w14:paraId="65CEF939" w14:textId="4DA9CA92" w:rsidR="00182262" w:rsidRDefault="00182262" w:rsidP="00182262">
      <w:pPr>
        <w:jc w:val="both"/>
      </w:pPr>
      <w:r>
        <w:t>2025 yılı için belirlenen % 25,49 (yirmi beş virgül kırk dokuz) oranı, 2026 yılı vergilerinin artışında dikkate alınacaktır.</w:t>
      </w:r>
    </w:p>
    <w:p w14:paraId="65A9B1F2" w14:textId="114D1BCC" w:rsidR="00182262" w:rsidRDefault="00182262" w:rsidP="00182262">
      <w:pPr>
        <w:jc w:val="both"/>
      </w:pPr>
      <w:r>
        <w:t>Kaynak:TURMOB</w:t>
      </w:r>
    </w:p>
    <w:p w14:paraId="0E252992" w14:textId="3C0F7AC1" w:rsidR="00182262" w:rsidRDefault="00182262" w:rsidP="00182262">
      <w:pPr>
        <w:jc w:val="both"/>
      </w:pPr>
      <w:r>
        <w:t>Saygılarımızla,</w:t>
      </w:r>
    </w:p>
    <w:p w14:paraId="456D98FD" w14:textId="4AB4ED8A" w:rsidR="00182262" w:rsidRDefault="00182262" w:rsidP="00182262">
      <w:pPr>
        <w:jc w:val="both"/>
      </w:pPr>
      <w:r>
        <w:t>Destek YMM Ltd.Şti.</w:t>
      </w:r>
    </w:p>
    <w:p w14:paraId="7E154644" w14:textId="77777777" w:rsidR="00182262" w:rsidRDefault="00182262" w:rsidP="00182262">
      <w:pPr>
        <w:jc w:val="both"/>
      </w:pPr>
    </w:p>
    <w:p w14:paraId="4ABF641E" w14:textId="77777777" w:rsidR="00182262" w:rsidRDefault="00182262" w:rsidP="00182262">
      <w:pPr>
        <w:jc w:val="both"/>
      </w:pPr>
      <w:r>
        <w:t xml:space="preserve">İLGİLİ MEVZUAT </w:t>
      </w:r>
    </w:p>
    <w:p w14:paraId="1F57410A" w14:textId="77777777" w:rsidR="00182262" w:rsidRDefault="00182262" w:rsidP="00182262">
      <w:pPr>
        <w:jc w:val="both"/>
      </w:pPr>
      <w:r>
        <w:t xml:space="preserve">Vergi Usul Kanununun Mükerrer 298’inci maddesinin (B) fıkrasına göre yeniden değerleme oranı, yeniden değerleme yapılacak yılın Ekim ayında (Ekim ayı dahil) bir önceki yılın aynı dönemine göre Devlet İstatistik Enstitüsünün Toptan Eşya Fiyatları Genel Endeksinde meydana gelen ortalama fiyat artış oranıdır. Bu oran Maliye Bakanlığınca Resmî Gazete ile ilân edilmektedir. Diğer taraftan 5479 sayılı Kanunla 01/01/2006 tarihinden geçerli olmak üzere tüm vergi kanunlarında yer alan “TEFE” ibareleri “ÜFE” olarak değiştirildiğinden, Vergi Usul Kanununun mükerrer 298’nci maddesi uyarınca yeniden değerleme oranı da bu tarihten sonra “ÜFE” endeksindeki artışa göre belirlenmiştir. </w:t>
      </w:r>
    </w:p>
    <w:p w14:paraId="103F145D" w14:textId="77777777" w:rsidR="00182262" w:rsidRDefault="00182262" w:rsidP="00182262">
      <w:pPr>
        <w:jc w:val="both"/>
      </w:pPr>
      <w:r>
        <w:t xml:space="preserve">Son olarak 1 Mart 2014 tarihli ve 289218 sayılı Resmi Gazetede yayımlanan 6527 sayılı Bazı Kanunlarda Değişiklik Yapılması Hakkında Kanun’un 14’üncümaddesi ile 5429 sayılı Türkiye İstatistik Kanununun 58 inci maddesinin başlığı “Yürürlükten kaldırılan ve uygulanmayacak hükümler ile atıflar” olarak değiştirilmiş ve maddeye aşağıdaki fıkra eklenmiştir. </w:t>
      </w:r>
    </w:p>
    <w:p w14:paraId="4DD0E20D" w14:textId="7166CFCE" w:rsidR="00182262" w:rsidRPr="00182262" w:rsidRDefault="00182262" w:rsidP="00182262">
      <w:pPr>
        <w:jc w:val="both"/>
        <w:rPr>
          <w:rFonts w:ascii="Times New Roman" w:hAnsi="Times New Roman" w:cs="Times New Roman"/>
          <w:sz w:val="24"/>
          <w:szCs w:val="24"/>
        </w:rPr>
      </w:pPr>
      <w:r>
        <w:t>“Muhtelif mevzuatta Toptan Eşya Fiyat Endeksi (TEFE) ve Üretici Fiyat Endeksine (ÜFE) yapılmış olan atıflar, Kurumca hesaplanan Yurt İçi Üretici Fiyat Endeksine (Yİ-ÜFE), tarım sektörü TEFE ve ÜFE’ye yapılan atıflar Tarım Ürünleri Üretici Fiyat Endeksine yapılmış sayılır.”</w:t>
      </w:r>
    </w:p>
    <w:sectPr w:rsidR="00182262" w:rsidRPr="001822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E3E"/>
    <w:rsid w:val="00182262"/>
    <w:rsid w:val="00303E3E"/>
    <w:rsid w:val="0058623F"/>
    <w:rsid w:val="006A0038"/>
    <w:rsid w:val="00731E64"/>
    <w:rsid w:val="00A571E3"/>
    <w:rsid w:val="00BC61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C870A"/>
  <w15:chartTrackingRefBased/>
  <w15:docId w15:val="{984CD91F-BCAD-44EA-9F18-8393BEFA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262"/>
    <w:pPr>
      <w:spacing w:line="256" w:lineRule="auto"/>
    </w:pPr>
  </w:style>
  <w:style w:type="paragraph" w:styleId="Balk1">
    <w:name w:val="heading 1"/>
    <w:basedOn w:val="Normal"/>
    <w:next w:val="Normal"/>
    <w:link w:val="Balk1Char"/>
    <w:uiPriority w:val="9"/>
    <w:qFormat/>
    <w:rsid w:val="00303E3E"/>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3E3E"/>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03E3E"/>
    <w:pPr>
      <w:keepNext/>
      <w:keepLines/>
      <w:spacing w:before="160" w:after="80" w:line="259" w:lineRule="auto"/>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3E3E"/>
    <w:pPr>
      <w:keepNext/>
      <w:keepLines/>
      <w:spacing w:before="80" w:after="40" w:line="259" w:lineRule="auto"/>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3E3E"/>
    <w:pPr>
      <w:keepNext/>
      <w:keepLines/>
      <w:spacing w:before="80" w:after="40" w:line="259" w:lineRule="auto"/>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3E3E"/>
    <w:pPr>
      <w:keepNext/>
      <w:keepLines/>
      <w:spacing w:before="40" w:after="0" w:line="259" w:lineRule="auto"/>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3E3E"/>
    <w:pPr>
      <w:keepNext/>
      <w:keepLines/>
      <w:spacing w:before="40" w:after="0" w:line="259" w:lineRule="auto"/>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3E3E"/>
    <w:pPr>
      <w:keepNext/>
      <w:keepLines/>
      <w:spacing w:after="0" w:line="259" w:lineRule="auto"/>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3E3E"/>
    <w:pPr>
      <w:keepNext/>
      <w:keepLines/>
      <w:spacing w:after="0" w:line="259" w:lineRule="auto"/>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3E3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3E3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03E3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3E3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3E3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3E3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3E3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3E3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3E3E"/>
    <w:rPr>
      <w:rFonts w:eastAsiaTheme="majorEastAsia" w:cstheme="majorBidi"/>
      <w:color w:val="272727" w:themeColor="text1" w:themeTint="D8"/>
    </w:rPr>
  </w:style>
  <w:style w:type="paragraph" w:styleId="KonuBal">
    <w:name w:val="Title"/>
    <w:basedOn w:val="Normal"/>
    <w:next w:val="Normal"/>
    <w:link w:val="KonuBalChar"/>
    <w:uiPriority w:val="10"/>
    <w:qFormat/>
    <w:rsid w:val="00303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3E3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3E3E"/>
    <w:pPr>
      <w:numPr>
        <w:ilvl w:val="1"/>
      </w:numPr>
      <w:spacing w:line="259"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3E3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3E3E"/>
    <w:pPr>
      <w:spacing w:before="160" w:line="259" w:lineRule="auto"/>
      <w:jc w:val="center"/>
    </w:pPr>
    <w:rPr>
      <w:i/>
      <w:iCs/>
      <w:color w:val="404040" w:themeColor="text1" w:themeTint="BF"/>
    </w:rPr>
  </w:style>
  <w:style w:type="character" w:customStyle="1" w:styleId="AlntChar">
    <w:name w:val="Alıntı Char"/>
    <w:basedOn w:val="VarsaylanParagrafYazTipi"/>
    <w:link w:val="Alnt"/>
    <w:uiPriority w:val="29"/>
    <w:rsid w:val="00303E3E"/>
    <w:rPr>
      <w:i/>
      <w:iCs/>
      <w:color w:val="404040" w:themeColor="text1" w:themeTint="BF"/>
    </w:rPr>
  </w:style>
  <w:style w:type="paragraph" w:styleId="ListeParagraf">
    <w:name w:val="List Paragraph"/>
    <w:basedOn w:val="Normal"/>
    <w:uiPriority w:val="34"/>
    <w:qFormat/>
    <w:rsid w:val="00303E3E"/>
    <w:pPr>
      <w:spacing w:line="259" w:lineRule="auto"/>
      <w:ind w:left="720"/>
      <w:contextualSpacing/>
    </w:pPr>
  </w:style>
  <w:style w:type="character" w:styleId="GlVurgulama">
    <w:name w:val="Intense Emphasis"/>
    <w:basedOn w:val="VarsaylanParagrafYazTipi"/>
    <w:uiPriority w:val="21"/>
    <w:qFormat/>
    <w:rsid w:val="00303E3E"/>
    <w:rPr>
      <w:i/>
      <w:iCs/>
      <w:color w:val="2F5496" w:themeColor="accent1" w:themeShade="BF"/>
    </w:rPr>
  </w:style>
  <w:style w:type="paragraph" w:styleId="GlAlnt">
    <w:name w:val="Intense Quote"/>
    <w:basedOn w:val="Normal"/>
    <w:next w:val="Normal"/>
    <w:link w:val="GlAlntChar"/>
    <w:uiPriority w:val="30"/>
    <w:qFormat/>
    <w:rsid w:val="00303E3E"/>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3E3E"/>
    <w:rPr>
      <w:i/>
      <w:iCs/>
      <w:color w:val="2F5496" w:themeColor="accent1" w:themeShade="BF"/>
    </w:rPr>
  </w:style>
  <w:style w:type="character" w:styleId="GlBavuru">
    <w:name w:val="Intense Reference"/>
    <w:basedOn w:val="VarsaylanParagrafYazTipi"/>
    <w:uiPriority w:val="32"/>
    <w:qFormat/>
    <w:rsid w:val="00303E3E"/>
    <w:rPr>
      <w:b/>
      <w:bCs/>
      <w:smallCaps/>
      <w:color w:val="2F5496" w:themeColor="accent1" w:themeShade="BF"/>
      <w:spacing w:val="5"/>
    </w:rPr>
  </w:style>
  <w:style w:type="table" w:styleId="TabloKlavuzu">
    <w:name w:val="Table Grid"/>
    <w:basedOn w:val="NormalTablo"/>
    <w:uiPriority w:val="39"/>
    <w:rsid w:val="00182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Dölcü</dc:creator>
  <cp:keywords/>
  <dc:description/>
  <cp:lastModifiedBy>Sinan Dölcü</cp:lastModifiedBy>
  <cp:revision>4</cp:revision>
  <dcterms:created xsi:type="dcterms:W3CDTF">2025-12-01T09:53:00Z</dcterms:created>
  <dcterms:modified xsi:type="dcterms:W3CDTF">2025-12-01T10:05:00Z</dcterms:modified>
</cp:coreProperties>
</file>