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FDF" w:rsidRDefault="000E2FDF" w:rsidP="000E2FDF">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rsidR="000E2FDF" w:rsidRDefault="000E2FDF" w:rsidP="000E2FDF">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rsidR="000E2FDF" w:rsidRDefault="000E2FDF" w:rsidP="000E2FDF">
      <w:pPr>
        <w:spacing w:line="252" w:lineRule="auto"/>
        <w:jc w:val="center"/>
        <w:rPr>
          <w:b/>
          <w:color w:val="008000"/>
        </w:rPr>
      </w:pPr>
      <w:r>
        <w:rPr>
          <w:b/>
          <w:color w:val="008000"/>
        </w:rPr>
        <w:t xml:space="preserve">SAHRAYICEDİT MAH. ATATÜRK CAD. MESA KOZ PLAZA NO:69 K:11 D:146 KADIKÖY/İST. </w:t>
      </w:r>
    </w:p>
    <w:p w:rsidR="000E2FDF" w:rsidRDefault="000E2FDF" w:rsidP="000E2FDF">
      <w:pPr>
        <w:spacing w:line="252" w:lineRule="auto"/>
        <w:jc w:val="center"/>
        <w:rPr>
          <w:b/>
          <w:color w:val="008000"/>
        </w:rPr>
      </w:pPr>
      <w:r>
        <w:rPr>
          <w:b/>
          <w:color w:val="008000"/>
        </w:rPr>
        <w:t xml:space="preserve">TEL:0 216 759 33 58 </w:t>
      </w:r>
      <w:proofErr w:type="spellStart"/>
      <w:r>
        <w:rPr>
          <w:b/>
          <w:color w:val="008000"/>
        </w:rPr>
        <w:t>pbx</w:t>
      </w:r>
      <w:proofErr w:type="spellEnd"/>
    </w:p>
    <w:p w:rsidR="000E2FDF" w:rsidRDefault="000E2FDF" w:rsidP="000E2FDF">
      <w:pPr>
        <w:spacing w:line="252" w:lineRule="auto"/>
        <w:jc w:val="center"/>
        <w:rPr>
          <w:b/>
          <w:color w:val="008000"/>
        </w:rPr>
      </w:pPr>
      <w:r>
        <w:rPr>
          <w:b/>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0E2FDF" w:rsidTr="000E2FDF">
        <w:trPr>
          <w:cantSplit/>
          <w:trHeight w:val="247"/>
        </w:trPr>
        <w:tc>
          <w:tcPr>
            <w:tcW w:w="9681" w:type="dxa"/>
            <w:gridSpan w:val="3"/>
            <w:hideMark/>
          </w:tcPr>
          <w:p w:rsidR="000E2FDF" w:rsidRDefault="000E2FDF">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w:t>
            </w:r>
            <w:proofErr w:type="gramStart"/>
            <w:r>
              <w:rPr>
                <w:b/>
                <w:u w:val="single"/>
              </w:rPr>
              <w:t>R          .</w:t>
            </w:r>
            <w:proofErr w:type="gramEnd"/>
          </w:p>
        </w:tc>
      </w:tr>
      <w:tr w:rsidR="000E2FDF" w:rsidTr="000E2FDF">
        <w:trPr>
          <w:cantSplit/>
          <w:trHeight w:val="225"/>
        </w:trPr>
        <w:tc>
          <w:tcPr>
            <w:tcW w:w="9681" w:type="dxa"/>
            <w:gridSpan w:val="3"/>
            <w:hideMark/>
          </w:tcPr>
          <w:p w:rsidR="000E2FDF" w:rsidRDefault="000E2FDF">
            <w:pPr>
              <w:spacing w:line="252" w:lineRule="auto"/>
              <w:rPr>
                <w:rFonts w:ascii="Times New Roman" w:eastAsia="Times New Roman" w:hAnsi="Times New Roman" w:cs="Times New Roman"/>
              </w:rPr>
            </w:pPr>
            <w:r>
              <w:rPr>
                <w:b/>
              </w:rPr>
              <w:t xml:space="preserve">Destek </w:t>
            </w:r>
            <w:proofErr w:type="gramStart"/>
            <w:r>
              <w:rPr>
                <w:b/>
              </w:rPr>
              <w:t>YMM  LTD.</w:t>
            </w:r>
            <w:proofErr w:type="gramEnd"/>
            <w:r>
              <w:rPr>
                <w:b/>
              </w:rPr>
              <w:t xml:space="preserve"> </w:t>
            </w:r>
            <w:proofErr w:type="spellStart"/>
            <w:r>
              <w:rPr>
                <w:b/>
              </w:rPr>
              <w:t>ŞTİ’nin</w:t>
            </w:r>
            <w:proofErr w:type="spellEnd"/>
            <w:r>
              <w:rPr>
                <w:b/>
              </w:rPr>
              <w:t xml:space="preserve"> müşterilerine özel bir hizmetidir. İzinsiz çoğaltılamaz, iktibas edilemez.</w:t>
            </w:r>
          </w:p>
        </w:tc>
      </w:tr>
      <w:tr w:rsidR="000E2FDF" w:rsidTr="000E2FDF">
        <w:trPr>
          <w:trHeight w:val="225"/>
        </w:trPr>
        <w:tc>
          <w:tcPr>
            <w:tcW w:w="2689" w:type="dxa"/>
            <w:hideMark/>
          </w:tcPr>
          <w:p w:rsidR="000E2FDF" w:rsidRDefault="000E2FDF">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rsidR="000E2FDF" w:rsidRDefault="000E2FDF">
            <w:pPr>
              <w:spacing w:line="252" w:lineRule="auto"/>
              <w:rPr>
                <w:rFonts w:ascii="Times New Roman" w:eastAsia="Times New Roman" w:hAnsi="Times New Roman" w:cs="Times New Roman"/>
                <w:b/>
              </w:rPr>
            </w:pPr>
            <w:r>
              <w:rPr>
                <w:b/>
              </w:rPr>
              <w:t>:</w:t>
            </w:r>
          </w:p>
        </w:tc>
        <w:tc>
          <w:tcPr>
            <w:tcW w:w="6608" w:type="dxa"/>
            <w:hideMark/>
          </w:tcPr>
          <w:p w:rsidR="000E2FDF" w:rsidRDefault="000E2FDF">
            <w:pPr>
              <w:spacing w:line="252" w:lineRule="auto"/>
              <w:rPr>
                <w:rFonts w:ascii="Times New Roman" w:eastAsia="Times New Roman" w:hAnsi="Times New Roman" w:cs="Times New Roman"/>
                <w:b/>
              </w:rPr>
            </w:pPr>
            <w:r>
              <w:rPr>
                <w:rFonts w:ascii="Times New Roman" w:hAnsi="Times New Roman" w:cs="Times New Roman"/>
                <w:b/>
              </w:rPr>
              <w:t>07/01/2025</w:t>
            </w:r>
          </w:p>
        </w:tc>
      </w:tr>
      <w:tr w:rsidR="000E2FDF" w:rsidTr="000E2FDF">
        <w:trPr>
          <w:trHeight w:val="225"/>
        </w:trPr>
        <w:tc>
          <w:tcPr>
            <w:tcW w:w="2689" w:type="dxa"/>
            <w:hideMark/>
          </w:tcPr>
          <w:p w:rsidR="000E2FDF" w:rsidRDefault="000E2FDF">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rsidR="000E2FDF" w:rsidRDefault="000E2FDF">
            <w:pPr>
              <w:spacing w:line="252" w:lineRule="auto"/>
              <w:rPr>
                <w:rFonts w:ascii="Times New Roman" w:eastAsia="Times New Roman" w:hAnsi="Times New Roman" w:cs="Times New Roman"/>
                <w:b/>
              </w:rPr>
            </w:pPr>
            <w:r>
              <w:rPr>
                <w:b/>
              </w:rPr>
              <w:t>:</w:t>
            </w:r>
          </w:p>
        </w:tc>
        <w:tc>
          <w:tcPr>
            <w:tcW w:w="6608" w:type="dxa"/>
            <w:hideMark/>
          </w:tcPr>
          <w:p w:rsidR="000E2FDF" w:rsidRDefault="000E2FDF">
            <w:pPr>
              <w:spacing w:line="252" w:lineRule="auto"/>
              <w:rPr>
                <w:rFonts w:ascii="Times New Roman" w:eastAsia="Times New Roman" w:hAnsi="Times New Roman" w:cs="Times New Roman"/>
                <w:b/>
              </w:rPr>
            </w:pPr>
            <w:r>
              <w:rPr>
                <w:rFonts w:ascii="Times New Roman" w:hAnsi="Times New Roman" w:cs="Times New Roman"/>
                <w:b/>
              </w:rPr>
              <w:t>2025/001</w:t>
            </w:r>
          </w:p>
        </w:tc>
      </w:tr>
      <w:tr w:rsidR="000E2FDF" w:rsidTr="000E2FDF">
        <w:trPr>
          <w:trHeight w:val="642"/>
        </w:trPr>
        <w:tc>
          <w:tcPr>
            <w:tcW w:w="2689" w:type="dxa"/>
            <w:hideMark/>
          </w:tcPr>
          <w:p w:rsidR="000E2FDF" w:rsidRDefault="000E2FDF">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rsidR="000E2FDF" w:rsidRDefault="000E2FDF">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608" w:type="dxa"/>
            <w:vAlign w:val="center"/>
            <w:hideMark/>
          </w:tcPr>
          <w:p w:rsidR="000E2FDF" w:rsidRPr="000E2FDF" w:rsidRDefault="000E2FDF" w:rsidP="000E2FDF">
            <w:pPr>
              <w:jc w:val="both"/>
              <w:rPr>
                <w:rFonts w:ascii="Times New Roman" w:hAnsi="Times New Roman" w:cs="Times New Roman"/>
                <w:b/>
                <w:sz w:val="24"/>
                <w:szCs w:val="24"/>
              </w:rPr>
            </w:pPr>
            <w:r w:rsidRPr="000E2FDF">
              <w:rPr>
                <w:rFonts w:ascii="Times New Roman" w:hAnsi="Times New Roman" w:cs="Times New Roman"/>
                <w:b/>
                <w:sz w:val="24"/>
                <w:szCs w:val="24"/>
              </w:rPr>
              <w:t>1 Ocak 2025 Tarihinden İtibaren Yur</w:t>
            </w:r>
            <w:r>
              <w:rPr>
                <w:rFonts w:ascii="Times New Roman" w:hAnsi="Times New Roman" w:cs="Times New Roman"/>
                <w:b/>
                <w:sz w:val="24"/>
                <w:szCs w:val="24"/>
              </w:rPr>
              <w:t>t Dışı Çıkış Harcı Tutarı 710 TL</w:t>
            </w:r>
            <w:r w:rsidRPr="000E2FDF">
              <w:rPr>
                <w:rFonts w:ascii="Times New Roman" w:hAnsi="Times New Roman" w:cs="Times New Roman"/>
                <w:b/>
                <w:sz w:val="24"/>
                <w:szCs w:val="24"/>
              </w:rPr>
              <w:t xml:space="preserve">’ye Çıkıyor </w:t>
            </w:r>
          </w:p>
          <w:p w:rsidR="000E2FDF" w:rsidRDefault="000E2FDF">
            <w:pPr>
              <w:jc w:val="both"/>
              <w:rPr>
                <w:rFonts w:ascii="Times New Roman" w:eastAsia="Times New Roman" w:hAnsi="Times New Roman" w:cs="Times New Roman"/>
                <w:b/>
                <w:sz w:val="24"/>
                <w:szCs w:val="24"/>
                <w:lang w:eastAsia="tr-TR"/>
              </w:rPr>
            </w:pPr>
          </w:p>
        </w:tc>
      </w:tr>
    </w:tbl>
    <w:p w:rsidR="000E2FDF" w:rsidRDefault="000E2FDF" w:rsidP="00C8407E">
      <w:pPr>
        <w:jc w:val="both"/>
        <w:rPr>
          <w:rFonts w:ascii="Times New Roman" w:hAnsi="Times New Roman" w:cs="Times New Roman"/>
          <w:sz w:val="24"/>
          <w:szCs w:val="24"/>
        </w:rPr>
      </w:pP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ÖZET</w:t>
      </w:r>
      <w:r>
        <w:rPr>
          <w:rFonts w:ascii="Times New Roman" w:hAnsi="Times New Roman" w:cs="Times New Roman"/>
          <w:sz w:val="24"/>
          <w:szCs w:val="24"/>
        </w:rPr>
        <w:t>:</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7524 sayılı Kanunla yurt dışına çıkış yapan Türkiye Cumhuriyeti yurttaşlarından çıkış başına alınan harç tutarı, 12 Ağustos 2024 tarihinden itibaren 50 TL’den 500’ye çıkartılmış, harç tutarının her yıl yeniden değerleme oranında artırılacağı yönünde düzenleme yapılmıştı.</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Buna göre 1 Ocak 2025 tarihinden itibaren yurt dışı çıkış harcı tutarı 710 TL’dir. </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Düzenleme kapsamında hesaplanan harcın uygulandığı yılın ocak ayının onuncu günü sonuna kadar yapılan yurt dışına çıkışlarda, bir önceki yılın sonu itibarıyla geçerli tutar üzerinden yapılmış harç ödemeleri için fark ikmal edilmemektedir. </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31.12.2024 tarihine kadar 2024 yılının sonu itibarıyla geçerli harç tutarı olan 500 TL üzerinden alınan yurt dışına çıkış harç pulları, 10 Ocak 2025 günü sonuna kadar yapılacak yurt dışına çıkışlar için kullanılabilecektir. </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Harç Gelir İdaresi Başkanlığının Dijital Vergi Dairesi ve GİB mobil uygulamaları ile yetkili bankaların internet bankacılığı ve mobil bankacılık uygulamaları aracılığıyla da ödenebilmektedir. </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harcının ödenmesine karşın, yurt dışına çıkışın yapılmaması veya muafiyet kapsamında olan kişilerden harç tahsil edilmiş olması halinde iade işlemi gerçekleştirilmektedir. </w:t>
      </w:r>
    </w:p>
    <w:p w:rsid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8407E">
        <w:rPr>
          <w:rFonts w:ascii="Times New Roman" w:hAnsi="Times New Roman" w:cs="Times New Roman"/>
          <w:sz w:val="24"/>
          <w:szCs w:val="24"/>
        </w:rPr>
        <w:t xml:space="preserve">İade başvurusu Gelir İdaresi Başkanlığının Dijital Vergi Dairesi uygulaması aracılığıyla elektronik ortamda da yapılabilmektedir. </w:t>
      </w:r>
    </w:p>
    <w:p w:rsidR="00065D81" w:rsidRDefault="00065D81" w:rsidP="00C8407E">
      <w:pPr>
        <w:jc w:val="both"/>
        <w:rPr>
          <w:rFonts w:ascii="Times New Roman" w:hAnsi="Times New Roman" w:cs="Times New Roman"/>
          <w:sz w:val="24"/>
          <w:szCs w:val="24"/>
        </w:rPr>
      </w:pPr>
    </w:p>
    <w:p w:rsidR="00065D81" w:rsidRDefault="00065D81" w:rsidP="00C8407E">
      <w:pPr>
        <w:jc w:val="both"/>
        <w:rPr>
          <w:rFonts w:ascii="Times New Roman" w:hAnsi="Times New Roman" w:cs="Times New Roman"/>
          <w:sz w:val="24"/>
          <w:szCs w:val="24"/>
        </w:rPr>
      </w:pPr>
    </w:p>
    <w:p w:rsidR="00C8407E" w:rsidRDefault="00C8407E" w:rsidP="00C8407E">
      <w:pPr>
        <w:jc w:val="both"/>
        <w:rPr>
          <w:rFonts w:ascii="Times New Roman" w:hAnsi="Times New Roman" w:cs="Times New Roman"/>
          <w:sz w:val="24"/>
          <w:szCs w:val="24"/>
        </w:rPr>
      </w:pPr>
      <w:bookmarkStart w:id="0" w:name="_GoBack"/>
      <w:bookmarkEnd w:id="0"/>
      <w:r w:rsidRPr="00C8407E">
        <w:rPr>
          <w:rFonts w:ascii="Times New Roman" w:hAnsi="Times New Roman" w:cs="Times New Roman"/>
          <w:sz w:val="24"/>
          <w:szCs w:val="24"/>
        </w:rPr>
        <w:lastRenderedPageBreak/>
        <w:t xml:space="preserve">2 Ağustos 2024 tarihli ve 32620 sayılı Resmi Gazetede yayımlanan 7524 sayılı VERGİ KANUNLARI İLE BAZI KANUNLARDA VE 375 SAYILI KANUN HÜKMÜNDE KARARNAMEDE DEĞİŞİKLİK YAPILMASINA DAİR </w:t>
      </w:r>
      <w:proofErr w:type="spellStart"/>
      <w:r w:rsidRPr="00C8407E">
        <w:rPr>
          <w:rFonts w:ascii="Times New Roman" w:hAnsi="Times New Roman" w:cs="Times New Roman"/>
          <w:sz w:val="24"/>
          <w:szCs w:val="24"/>
        </w:rPr>
        <w:t>KANUN’un</w:t>
      </w:r>
      <w:proofErr w:type="spellEnd"/>
      <w:r w:rsidRPr="00C8407E">
        <w:rPr>
          <w:rFonts w:ascii="Times New Roman" w:hAnsi="Times New Roman" w:cs="Times New Roman"/>
          <w:sz w:val="24"/>
          <w:szCs w:val="24"/>
        </w:rPr>
        <w:t xml:space="preserve"> 51’inci maddesi ile - 8/3/2007 tarihli ve 5597 sayılı Yurt Dışına Çıkış Harcı Hakkında Kanun ile Çeşitli Kanunlarda Değişiklik Yapılması Hakkında Kanunun l inci maddesinde değişiklik yapılarak Yurt dışına çıkış yapan Türkiye Cumhuriyeti vatandaşlarından çıkış başına alınan harç tutarı, 12 Ağustos 2024 tarihinden itibaren 50 TL’den 500’ye çıkartılmıştı. Konuyla ilgili açıklamalarımıza ise 5.8.2024/105 sayılı Sirkülerimizde yer verilmişti.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Düzenleme kapsamında hesaplanan harcın uygulandığı yılın ocak ayının onuncu günü sonuna kadar yapılan yurt dışına çıkışlarda, bir önceki yılın sonu itibarıyla geçerli tutar üzerinden yapılmış harç ödemeleri için fark ikmal edilmeyecekti.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Düzenlemeden sonra 5597 sayılı Kanunun 1’inci maddesi aşağıdaki olmuştu.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1"/>
          <w:szCs w:val="21"/>
        </w:rPr>
      </w:pPr>
      <w:r w:rsidRPr="00C8407E">
        <w:rPr>
          <w:rFonts w:ascii="Times New Roman" w:hAnsi="Times New Roman" w:cs="Times New Roman"/>
          <w:b/>
          <w:sz w:val="21"/>
          <w:szCs w:val="21"/>
        </w:rPr>
        <w:t xml:space="preserve">Yurt dışına çıkış harcı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MADDE 1 – (1) Yurt dışına çıkış yapan Türkiye Cumhuriyeti vatandaşlarından çıkış başına 500 Türk lirası harç alınır. Bu harç, her yıl bir önceki yıla ilişkin olarak 4/1/1961 tarihli ve 213 sayılı Vergi Usul Kanununun mükerrer 298 inci maddesi hükümleri uyarınca belirlenen yeniden değerleme oranında artırılmak suretiyle uygulanır. Bu suretle hesaplanan harç tutarının 10 Türk lirasına kadarki kesirleri dikkate alınmaz. Şu kadar ki, bu kapsamda hesaplanan harcın uygulandığı yılın Ocak ayının onuncu günü sonuna kadar yapılan yurt dışına çıkışlarda, bir önceki yılın sonu itibarıyla geçerli tutar üzerinden yapılmış harç ödemeleri için fark ikmal edilmez." Cumhurbaşkanı, bu fıkrada yer alan harcı veya bu harcın yeniden değerleme oranı uygulanmak suretiyle belirlenmiş olan tutarını üç katına kadar artırmaya veya sıfıra kadar indirmeye yetkilidir.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(2) Yurt dışına çıkış harcının mükellefi, yurt dışına çıkış yapan kişilerdir.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proofErr w:type="gramStart"/>
      <w:r w:rsidRPr="00C8407E">
        <w:rPr>
          <w:rFonts w:ascii="Times New Roman" w:hAnsi="Times New Roman" w:cs="Times New Roman"/>
          <w:sz w:val="21"/>
          <w:szCs w:val="21"/>
        </w:rPr>
        <w:t xml:space="preserve">(3) Çıkış tarihi itibarıyla yurt dışında oturma izni bulunanlar, 7 yaşını doldurmamış olanlar, pasavan ve benzeri belgelerle çıkış yapanlar, Kuzey Kıbrıs Türk Cumhuriyetine kimlik belgesiyle çıkış yapanlar ile yurt dışına ticari amaçla sefer yapan kara, deniz, hava ve demiryolu toplu taşıma ve yük taşıma araçlarının mürettebatı yurt dışına çıkış harcı alınmaz. </w:t>
      </w:r>
      <w:proofErr w:type="gramEnd"/>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(4) Harcın beyan ve ödenmesinden sorumlu tutulan gerçek ve tüzel kişiler, tahsil ettikleri harcı gelir veya kurumlar vergisi bakımından bağlı oldukları vergi dairesine bir beyanname ile bildirmek ve üç gün içinde ödemekle yükümlüdürler.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(5) Bu Kanun hükümlerine göre ödenen harç, katma değer vergisi matrahının hesabında dikkate alınmaz.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(6) Gelir İdaresi Başkanlığı; harcın tahsilat şeklini belirlemeye, harca tabi işlemlere taraf olanları harcın ödenmesinden sorumlu tutmaya, harca ilişkin beyan dönemlerini tahsilat tutarına bağlı olarak, </w:t>
      </w:r>
      <w:proofErr w:type="spellStart"/>
      <w:r w:rsidRPr="00C8407E">
        <w:rPr>
          <w:rFonts w:ascii="Times New Roman" w:hAnsi="Times New Roman" w:cs="Times New Roman"/>
          <w:sz w:val="21"/>
          <w:szCs w:val="21"/>
        </w:rPr>
        <w:t>onbeş</w:t>
      </w:r>
      <w:proofErr w:type="spellEnd"/>
      <w:r w:rsidRPr="00C8407E">
        <w:rPr>
          <w:rFonts w:ascii="Times New Roman" w:hAnsi="Times New Roman" w:cs="Times New Roman"/>
          <w:sz w:val="21"/>
          <w:szCs w:val="21"/>
        </w:rPr>
        <w:t xml:space="preserve"> günlük, aylık veya üçer aylık dönemler itibarıyla tespit etmeye, harcın iadesi ile bu maddenin uygulanmasına ilişkin diğer usul ve esasları belirlemeye yetkilidir. </w:t>
      </w:r>
    </w:p>
    <w:p w:rsidR="00C8407E" w:rsidRPr="00C8407E" w:rsidRDefault="00C8407E" w:rsidP="00C8407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1"/>
          <w:szCs w:val="21"/>
        </w:rPr>
      </w:pPr>
      <w:r w:rsidRPr="00C8407E">
        <w:rPr>
          <w:rFonts w:ascii="Times New Roman" w:hAnsi="Times New Roman" w:cs="Times New Roman"/>
          <w:sz w:val="21"/>
          <w:szCs w:val="21"/>
        </w:rPr>
        <w:t xml:space="preserve">(7) Bu madde uyarınca alınan harcın çıkış başına 15 Türk lirası (Cumhurbaşkanınca 15 Türk lirasından düşük bir miktar belirlenmesi hâlinde belirlenen miktar) 2/3/1984 tarihli ve 2985 sayılı Toplu Konut Kanununun 2 </w:t>
      </w:r>
      <w:proofErr w:type="spellStart"/>
      <w:r w:rsidRPr="00C8407E">
        <w:rPr>
          <w:rFonts w:ascii="Times New Roman" w:hAnsi="Times New Roman" w:cs="Times New Roman"/>
          <w:sz w:val="21"/>
          <w:szCs w:val="21"/>
        </w:rPr>
        <w:t>nci</w:t>
      </w:r>
      <w:proofErr w:type="spellEnd"/>
      <w:r w:rsidRPr="00C8407E">
        <w:rPr>
          <w:rFonts w:ascii="Times New Roman" w:hAnsi="Times New Roman" w:cs="Times New Roman"/>
          <w:sz w:val="21"/>
          <w:szCs w:val="21"/>
        </w:rPr>
        <w:t xml:space="preserve"> maddesinin (f) bendine göre Toplu Konut İdaresine aktarılır, kalan miktar genel bütçeye gelir kaydedilir. </w:t>
      </w:r>
    </w:p>
    <w:p w:rsidR="00C8407E" w:rsidRDefault="00C8407E" w:rsidP="00C8407E">
      <w:pPr>
        <w:jc w:val="both"/>
        <w:rPr>
          <w:rFonts w:ascii="Times New Roman" w:hAnsi="Times New Roman" w:cs="Times New Roman"/>
          <w:sz w:val="24"/>
          <w:szCs w:val="24"/>
        </w:rPr>
      </w:pPr>
      <w:proofErr w:type="gramStart"/>
      <w:r w:rsidRPr="00C8407E">
        <w:rPr>
          <w:rFonts w:ascii="Times New Roman" w:hAnsi="Times New Roman" w:cs="Times New Roman"/>
          <w:sz w:val="24"/>
          <w:szCs w:val="24"/>
        </w:rPr>
        <w:t xml:space="preserve">28 Aralık 2024 tarihli ve 32767 sayılı Resmi Gazetede yayımlanan YURT DIŞINA ÇIKIŞ HARCI UYGULAMA GENEL TEBLİĞİ ile 30/3/2007 tarihli ve 26478 sayılı Resmî Gazetede yayımlanan Yurt Dışına Çıkış Harcı Hakkında Kanunun Uygulanmasına Dair Genel Tebliğ (Seri No:1) yürürlükten kaldırılmış ve 7524 sayılı Kanunla yapılan düzenlemeye ve genel olarak harcın uygulanmasına ilişkin açıklama yapılmıştır. </w:t>
      </w:r>
      <w:proofErr w:type="gramEnd"/>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lastRenderedPageBreak/>
        <w:t xml:space="preserve">I-) Harcın mükellefi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harcının mükellefi, yurt dışına çıkış yapan Türkiye Cumhuriyeti vatandaşlarıdır. </w:t>
      </w:r>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t xml:space="preserve">II-) Harçtan muaf olanlar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yapan Türkiye Cumhuriyeti vatandaşlarından;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a) Çıkış tarihi itibarıyla yurt dışında oturma izni bulunanlar,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b) 7 yaşını doldurmamış olanlar,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c) Pasavan ve benzeri belgelerle çıkış yapanlar,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ç) Kuzey Kıbrıs Türk Cumhuriyetine kimlik belgesiyle çıkış yapanlar,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d) Yurt dışına ticari amaçla sefer yapan kara, deniz, hava ve demiryolu toplu taşıma ve yük taşıma araçlarının mürettebatı olanlar, harçtan muaftır. </w:t>
      </w:r>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t xml:space="preserve">III-) Harç tutarı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yapan Türkiye Cumhuriyeti vatandaşlarından alınacak harç tutarı, çıkış tarihi itibarıyla geçerli olan tutardır.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İlgili yılda uygulanan harç, her yıl bir önceki yıla ilişkin olarak 4/1/1961 tarihli ve 213 sayılı Vergi Usul Kanununun mükerrer 298 inci maddesi hükümleri uyarınca belirlenen yeniden değerleme oranında artırılmak suretiyle uygulanır. Bu suretle hesaplanan harç tutarının 10 Türk lirasına kadarki kesirleri dikkate alınmaz.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Yeniden değerleme oranında artırılmak suretiyle hesaplanan harcın uygulanacağı yılın ocak ayının onuncu günü sonuna kadar yapılan yurt dışına çıkışlarda, bir önceki yılın sonu itibarıyla geçerli tutar üzerinden harcın ödenmiş olması durumunda, ödenmiş harç tutarı ile işlem yapılır ve bu harç ödemeleri için fark istenmemektedir.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1 Ocak 2025 tarihinden itibaren yurt dışına çıkış harç tutarı 710 TL’dir. </w:t>
      </w:r>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t xml:space="preserve">IV-) Harcın ödenmesi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harcı, yurt dışına çıkmadan evvel vergi daireleri, mal müdürlükleri, gümrük saymanlıkları, defterdarlık muhasebe müdürlükleri, yetkili bankalar ile Posta ve Telgraf Teşkilatı Anonim Şirketi (PTT) veznelerine makbuz karşılığında ödenir. Ayrıca Gelir İdaresi Başkanlığının Dijital Vergi Dairesi ve GİB mobil uygulamaları ile yetkili bankaların internet bankacılığı ve mobil bankacılık uygulamaları aracılığıyla da yurt dışına çıkış harcı ödenebilir. </w:t>
      </w:r>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t xml:space="preserve">V-) Yurt dışına çıkış harcının kontrolü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Türkiye Cumhuriyeti vatandaşlarının yurt dışına çıkışlarında, harcın ödenmesine veya muafiyet uygulanmasına ilişkin denetim, çıkış kapılarında görevli emniyet mensuplarınca yapılır. </w:t>
      </w:r>
    </w:p>
    <w:p w:rsidR="00C8407E" w:rsidRDefault="00C8407E" w:rsidP="00C8407E">
      <w:pPr>
        <w:jc w:val="both"/>
        <w:rPr>
          <w:rFonts w:ascii="Times New Roman" w:hAnsi="Times New Roman" w:cs="Times New Roman"/>
          <w:sz w:val="24"/>
          <w:szCs w:val="24"/>
        </w:rPr>
      </w:pPr>
      <w:proofErr w:type="gramStart"/>
      <w:r w:rsidRPr="00C8407E">
        <w:rPr>
          <w:rFonts w:ascii="Times New Roman" w:hAnsi="Times New Roman" w:cs="Times New Roman"/>
          <w:sz w:val="24"/>
          <w:szCs w:val="24"/>
        </w:rPr>
        <w:t>Yurt dışına çıkışlarda; vergi dairesi, yetkili bankalar ve PTT veznelerine makbuz karşılığında yapılan ödemeler ile Gelir İdaresi Başkanlığının Dijital Vergi Dairesi ve GİB mobil uygulamaları, yetkili bankaların internet bankacılığı ve mobil bankacılık uygulamaları aracılığıyla yapılan ödemelerde, harcın ödendiği sistem üzerinden kontrol edilir, çıkış yapılması üzerine kontrol edilen harç tutarının kullanıldığı sisteme işlenir.</w:t>
      </w:r>
      <w:proofErr w:type="gramEnd"/>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lastRenderedPageBreak/>
        <w:t xml:space="preserve">Mal müdürlükleri, gümrük saymanlıkları ve defterdarlık muhasebe müdürlüklerine makbuz karşılığında yapılan ödemelerde harç ödemesine ait makbuz, çıkış kapılarında görevli emniyet mensupları tarafından iptal kaşesi uygulanarak kontrol edilir. </w:t>
      </w:r>
    </w:p>
    <w:p w:rsidR="00C8407E" w:rsidRPr="00C8407E" w:rsidRDefault="00C8407E" w:rsidP="00C8407E">
      <w:pPr>
        <w:jc w:val="both"/>
        <w:rPr>
          <w:rFonts w:ascii="Times New Roman" w:hAnsi="Times New Roman" w:cs="Times New Roman"/>
          <w:b/>
          <w:sz w:val="24"/>
          <w:szCs w:val="24"/>
        </w:rPr>
      </w:pPr>
      <w:r w:rsidRPr="00C8407E">
        <w:rPr>
          <w:rFonts w:ascii="Times New Roman" w:hAnsi="Times New Roman" w:cs="Times New Roman"/>
          <w:b/>
          <w:sz w:val="24"/>
          <w:szCs w:val="24"/>
        </w:rPr>
        <w:t xml:space="preserve">VI-) Harcın iadesi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Yurt dışına çıkış harcının ödenmesine karşın, yurt dışına çıkışın yapılmaması veya muafiyet kapsamında olan kişilerden harç tahsil edilmiş olması halinde;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a) Vergi dairesi, yetkili bankalar ve PTT veznelerine makbuz karşılığında yapılan ödemeler ile Gelir İdaresi Başkanlığının Dijital Vergi Dairesi ve GİB mobil uygulamaları, yetkili bankaların internet bankacılığı ve mobil bankacılık uygulamaları aracılığıyla tahsil olunan harçlar bakımından ödemenin yapıldığı vergi dairesine,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b) Mal müdürlükleri, gümrük saymanlıkları ve defterdarlık muhasebe müdürlüklerince tahsil olunan harçlarda ödemenin yapıldığı yere, </w:t>
      </w:r>
    </w:p>
    <w:p w:rsidR="00C8407E" w:rsidRDefault="00C8407E" w:rsidP="00C8407E">
      <w:pPr>
        <w:jc w:val="both"/>
        <w:rPr>
          <w:rFonts w:ascii="Times New Roman" w:hAnsi="Times New Roman" w:cs="Times New Roman"/>
          <w:sz w:val="24"/>
          <w:szCs w:val="24"/>
        </w:rPr>
      </w:pPr>
      <w:proofErr w:type="gramStart"/>
      <w:r w:rsidRPr="00C8407E">
        <w:rPr>
          <w:rFonts w:ascii="Times New Roman" w:hAnsi="Times New Roman" w:cs="Times New Roman"/>
          <w:sz w:val="24"/>
          <w:szCs w:val="24"/>
        </w:rPr>
        <w:t>mükellefler</w:t>
      </w:r>
      <w:proofErr w:type="gramEnd"/>
      <w:r w:rsidRPr="00C8407E">
        <w:rPr>
          <w:rFonts w:ascii="Times New Roman" w:hAnsi="Times New Roman" w:cs="Times New Roman"/>
          <w:sz w:val="24"/>
          <w:szCs w:val="24"/>
        </w:rPr>
        <w:t xml:space="preserve"> tarafından başvurulması ve ilgili belgelerin ibrazı üzerine iade işlemi gerçekleştirilmektedir. </w:t>
      </w:r>
    </w:p>
    <w:p w:rsidR="00C8407E"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 xml:space="preserve">Vergi dairesi, yetkili bankalar ve PTT veznelerine makbuz karşılığında yapılan ödemeler ile Gelir İdaresi Başkanlığının Dijital Vergi Dairesi ve GİB mobil uygulamaları, yetkili bankaların internet bankacılığı ve mobil bankacılık uygulamaları aracılığıyla yapılan ödemelerde, iade başvurusu Gelir İdaresi Başkanlığının Dijital Vergi Dairesi uygulaması aracılığıyla elektronik ortamda da yapılabilir. </w:t>
      </w:r>
    </w:p>
    <w:p w:rsidR="00C8407E" w:rsidRDefault="00C8407E" w:rsidP="00C8407E">
      <w:pPr>
        <w:jc w:val="both"/>
        <w:rPr>
          <w:rFonts w:ascii="Times New Roman" w:hAnsi="Times New Roman" w:cs="Times New Roman"/>
          <w:sz w:val="24"/>
          <w:szCs w:val="24"/>
        </w:rPr>
      </w:pPr>
      <w:r>
        <w:rPr>
          <w:rFonts w:ascii="Times New Roman" w:hAnsi="Times New Roman" w:cs="Times New Roman"/>
          <w:sz w:val="24"/>
          <w:szCs w:val="24"/>
        </w:rPr>
        <w:t>Kaynak: TURMOB</w:t>
      </w:r>
    </w:p>
    <w:p w:rsidR="00421B60" w:rsidRDefault="00C8407E" w:rsidP="00C8407E">
      <w:pPr>
        <w:jc w:val="both"/>
        <w:rPr>
          <w:rFonts w:ascii="Times New Roman" w:hAnsi="Times New Roman" w:cs="Times New Roman"/>
          <w:sz w:val="24"/>
          <w:szCs w:val="24"/>
        </w:rPr>
      </w:pPr>
      <w:r w:rsidRPr="00C8407E">
        <w:rPr>
          <w:rFonts w:ascii="Times New Roman" w:hAnsi="Times New Roman" w:cs="Times New Roman"/>
          <w:sz w:val="24"/>
          <w:szCs w:val="24"/>
        </w:rPr>
        <w:t>Saygılarımızla</w:t>
      </w:r>
      <w:r>
        <w:rPr>
          <w:rFonts w:ascii="Times New Roman" w:hAnsi="Times New Roman" w:cs="Times New Roman"/>
          <w:sz w:val="24"/>
          <w:szCs w:val="24"/>
        </w:rPr>
        <w:t xml:space="preserve">, </w:t>
      </w:r>
    </w:p>
    <w:p w:rsidR="00C8407E" w:rsidRPr="00C8407E" w:rsidRDefault="00C8407E" w:rsidP="00C8407E">
      <w:pPr>
        <w:jc w:val="both"/>
        <w:rPr>
          <w:rFonts w:ascii="Times New Roman" w:hAnsi="Times New Roman" w:cs="Times New Roman"/>
          <w:sz w:val="24"/>
          <w:szCs w:val="24"/>
        </w:rPr>
      </w:pPr>
      <w:r>
        <w:rPr>
          <w:rFonts w:ascii="Times New Roman" w:hAnsi="Times New Roman" w:cs="Times New Roman"/>
          <w:sz w:val="24"/>
          <w:szCs w:val="24"/>
        </w:rPr>
        <w:t>Destek YMM Ltd.Şti.</w:t>
      </w:r>
    </w:p>
    <w:sectPr w:rsidR="00C8407E" w:rsidRPr="00C840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BFE"/>
    <w:rsid w:val="00065D81"/>
    <w:rsid w:val="000E2FDF"/>
    <w:rsid w:val="00421B60"/>
    <w:rsid w:val="00930BFE"/>
    <w:rsid w:val="00C840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1048A"/>
  <w15:chartTrackingRefBased/>
  <w15:docId w15:val="{BAA61711-6DA7-43B5-ADC6-A12CEE6B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95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1429</Words>
  <Characters>8151</Characters>
  <Application>Microsoft Office Word</Application>
  <DocSecurity>0</DocSecurity>
  <Lines>67</Lines>
  <Paragraphs>19</Paragraphs>
  <ScaleCrop>false</ScaleCrop>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MD-User</dc:creator>
  <cp:keywords/>
  <dc:description/>
  <cp:lastModifiedBy>Sinan</cp:lastModifiedBy>
  <cp:revision>4</cp:revision>
  <dcterms:created xsi:type="dcterms:W3CDTF">2025-01-06T10:53:00Z</dcterms:created>
  <dcterms:modified xsi:type="dcterms:W3CDTF">2025-01-09T05:40:00Z</dcterms:modified>
</cp:coreProperties>
</file>